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</w:pPr>
      <w:r>
        <w:rPr>
          <w:color w:val="auto"/>
        </w:rPr>
        <w:t xml:space="preserve">1. </w:t>
      </w:r>
      <w:r>
        <w:rPr>
          <w:rFonts w:ascii="宋体" w:hAnsi="宋体" w:eastAsia="宋体" w:cs="宋体"/>
          <w:color w:val="auto"/>
        </w:rPr>
        <w:t>象形文字在一定程度上可以反映创字时的生态环境、经济生活和思想观念等。下表是“农”字的演变历程，其创意是在树木众多的地方以蜃（蚌壳）制工具从事劳作。“农”字的创制可反映当时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</w:pPr>
      <w:r>
        <w:drawing>
          <wp:inline distT="0" distB="0" distL="114300" distR="114300">
            <wp:extent cx="3638550" cy="1514475"/>
            <wp:effectExtent l="0" t="0" r="0" b="9525"/>
            <wp:docPr id="100003" name="图片 10000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auto"/>
        </w:rPr>
      </w:pPr>
      <w:r>
        <w:t xml:space="preserve">A. </w:t>
      </w:r>
      <w:r>
        <w:rPr>
          <w:rFonts w:ascii="宋体" w:hAnsi="宋体" w:eastAsia="宋体" w:cs="宋体"/>
          <w:color w:val="auto"/>
        </w:rPr>
        <w:t>天人合一的宇宙观念</w:t>
      </w:r>
      <w:r>
        <w:tab/>
      </w:r>
      <w:r>
        <w:t xml:space="preserve">B. </w:t>
      </w:r>
      <w:r>
        <w:rPr>
          <w:rFonts w:ascii="宋体" w:hAnsi="宋体" w:eastAsia="宋体" w:cs="宋体"/>
          <w:color w:val="auto"/>
        </w:rPr>
        <w:t>渔猎采集的劳动方式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t xml:space="preserve">C. </w:t>
      </w:r>
      <w:r>
        <w:rPr>
          <w:rFonts w:ascii="宋体" w:hAnsi="宋体" w:eastAsia="宋体" w:cs="宋体"/>
          <w:color w:val="auto"/>
        </w:rPr>
        <w:t>形神兼备的书画艺术</w:t>
      </w:r>
      <w:r>
        <w:tab/>
      </w:r>
      <w:r>
        <w:t xml:space="preserve">D. </w:t>
      </w:r>
      <w:r>
        <w:rPr>
          <w:rFonts w:ascii="宋体" w:hAnsi="宋体" w:eastAsia="宋体" w:cs="宋体"/>
          <w:color w:val="auto"/>
        </w:rPr>
        <w:t>原始农耕的生产状况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 w:eastAsia="宋体" w:cs="宋体"/>
          <w:color w:val="000000"/>
        </w:rPr>
        <w:t>司马迁认为，在推翻秦王朝过程中，项羽是天下诸侯的盟主，“位虽不终，近古以来未尝有也”，故而在《史记》中将项羽列入本纪。唐代史家刘知几则指出：“霸王者，即当时诸侯。诸侯而称本纪，求名责实，再三乖谬。”两者认识不同的根源在于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史书编纂体例</w:t>
      </w:r>
      <w:r>
        <w:rPr>
          <w:rFonts w:ascii="宋体" w:hAnsi="宋体" w:eastAsia="宋体" w:cs="宋体"/>
          <w:color w:val="000000"/>
          <w:position w:val="0"/>
        </w:rPr>
        <w:drawing>
          <wp:inline distT="0" distB="0" distL="114300" distR="114300">
            <wp:extent cx="133350" cy="177800"/>
            <wp:effectExtent l="0" t="0" r="0" b="13335"/>
            <wp:docPr id="100019" name="图片 10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选择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正统观念的左右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历史叙述原则的取向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情感倾向的影响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 w:eastAsia="宋体" w:cs="宋体"/>
          <w:color w:val="000000"/>
        </w:rPr>
        <w:t>唐代初期，太宗称：“我今为天下主，无问中国及四夷，皆养活之。不安者，我必令安；不乐者，我必令乐。”由于边远诸族聚居地生产相对落后，无法执行内地赋役标准，朝廷依据实情实施轻税政策，如建中元年（780）规定：“诸边远州有夷僚杂类之所，应输课役者，随事斟量，不必同之华夏。”上述材料集中体现了唐朝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采取灵活政策促进民族交往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重视边境民族地区的社会治理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调整经济政策推动区域发展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坚持推行因俗而治的民族政策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 w:eastAsia="宋体" w:cs="宋体"/>
          <w:color w:val="000000"/>
        </w:rPr>
        <w:t>宋代依据有无田产，将全国户口分为主户和客户。下表是北宋宝元元年（1038）和元丰元年（1078）三路主户、客户的统计数据，表中客户比率变化反映</w:t>
      </w:r>
    </w:p>
    <w:tbl>
      <w:tblPr>
        <w:tblStyle w:val="4"/>
        <w:tblW w:w="72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450"/>
        <w:gridCol w:w="870"/>
        <w:gridCol w:w="870"/>
        <w:gridCol w:w="765"/>
        <w:gridCol w:w="870"/>
        <w:gridCol w:w="870"/>
        <w:gridCol w:w="757"/>
        <w:gridCol w:w="8"/>
        <w:gridCol w:w="870"/>
        <w:gridCol w:w="870"/>
        <w:gridCol w:w="7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630" w:hRule="atLeast"/>
        </w:trPr>
        <w:tc>
          <w:tcPr>
            <w:tcW w:w="85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年份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数据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户别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政区</w:t>
            </w:r>
          </w:p>
        </w:tc>
        <w:tc>
          <w:tcPr>
            <w:tcW w:w="213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荆湖南路</w:t>
            </w:r>
          </w:p>
        </w:tc>
        <w:tc>
          <w:tcPr>
            <w:tcW w:w="213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荆湖北路</w:t>
            </w:r>
          </w:p>
        </w:tc>
        <w:tc>
          <w:tcPr>
            <w:tcW w:w="213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江南东路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1005" w:hRule="atLeast"/>
        </w:trPr>
        <w:tc>
          <w:tcPr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主户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客户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客户比率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主户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客户</w:t>
            </w:r>
          </w:p>
        </w:tc>
        <w:tc>
          <w:tcPr>
            <w:tcW w:w="85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客户比率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主户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客户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客户比率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570" w:hRule="atLeast"/>
        </w:trPr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宝元元年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456431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354626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0.437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350593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238709</w:t>
            </w:r>
          </w:p>
        </w:tc>
        <w:tc>
          <w:tcPr>
            <w:tcW w:w="85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0.405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902261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171499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0.160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585" w:hRule="atLeast"/>
        </w:trPr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元丰元年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475677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395537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0.454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280000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377533</w:t>
            </w:r>
          </w:p>
        </w:tc>
        <w:tc>
          <w:tcPr>
            <w:tcW w:w="85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0.574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926225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201086</w:t>
            </w: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0.178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土地兼并程度加深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地域经济差别扩大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商品经济发展加快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贫富差距逐渐缩小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 w:eastAsia="宋体" w:cs="宋体"/>
          <w:color w:val="000000"/>
        </w:rPr>
        <w:t>科举及第人数是衡量区域社会流动、经济发展与文化建设等程度的重要指标。下图为明代湖北进士及湖北籍人物著作分布情况。由此可见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076575" cy="2138680"/>
            <wp:effectExtent l="0" t="0" r="9525" b="13970"/>
            <wp:docPr id="100005" name="图片 10000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13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  <w:r>
        <w:rPr>
          <w:color w:val="000000"/>
        </w:rPr>
        <w:drawing>
          <wp:inline distT="0" distB="0" distL="114300" distR="114300">
            <wp:extent cx="3324225" cy="2552700"/>
            <wp:effectExtent l="0" t="0" r="9525" b="0"/>
            <wp:docPr id="100007" name="图片 10000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人文环境与人才选拔相互影响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交通条件制约人才分布的格局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政区等级与文教水平保持一致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文化成就与人口升降密切相关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 w:eastAsia="宋体" w:cs="宋体"/>
          <w:color w:val="000000"/>
        </w:rPr>
        <w:t>鸦片战争后，列强将不平等条约强加给中国，清朝原有的法律体系随之发生改变。《北京条约》签订后，清初制定的海禁律例从根本上被打破。1870年，《大清律例》新增打击拐卖人口出洋、允许华民出洋务工的条文。1909年，清政府颁布《大清国籍条例》，以保护海外华侨。上述材料说明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清廷改革受西方法律影响明显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条约体系与中国国内法关系密切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清朝被迫从闭关锁国走向开放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清政府通过调整法律以应对时局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 w:eastAsia="宋体" w:cs="宋体"/>
          <w:color w:val="000000"/>
        </w:rPr>
        <w:t>下表是有关太平天国运动领导人洪秀全的描述，对此解读最准确的是</w:t>
      </w:r>
    </w:p>
    <w:tbl>
      <w:tblPr>
        <w:tblStyle w:val="4"/>
        <w:tblW w:w="106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2271"/>
        <w:gridCol w:w="83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22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来源</w:t>
            </w:r>
          </w:p>
        </w:tc>
        <w:tc>
          <w:tcPr>
            <w:tcW w:w="83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22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太平天国方面</w:t>
            </w:r>
          </w:p>
        </w:tc>
        <w:tc>
          <w:tcPr>
            <w:tcW w:w="83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躯长大，面微圆而白，鼻高耳圆而小，其声音响亮而沉重，笑时屋为之震，有极大之膂力与极敏捷之知觉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22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清廷方面</w:t>
            </w:r>
          </w:p>
        </w:tc>
        <w:tc>
          <w:tcPr>
            <w:tcW w:w="83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身材魁硕，赤面高颧，有须，粗通文墨，素无赖，日事赌博；体质肥钝，了无异人处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22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民国前后革命党人</w:t>
            </w:r>
          </w:p>
        </w:tc>
        <w:tc>
          <w:tcPr>
            <w:tcW w:w="83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面长丰满，红须，手垂过膝；身干长大，富雄姿，豪迈博学，治《春秋》《汉书》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不同史料对人物的记载不同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不同的描述体现人物的多面性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不同立场影响对人物的描述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不同时期对人物描述有所侧重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 w:eastAsia="宋体" w:cs="宋体"/>
          <w:color w:val="000000"/>
        </w:rPr>
        <w:t>1915年5月22日，《申报》刊登了一则上海中国明明眼镜公司的声明：“近有丧心病狂之徒，以自己之营业失败，侮蔑本公司货物，谓贩自日本，实为本公司意外之奇辱也……不独本公司无丝毫日货，即中国全国眼镜界上，吾亦敢断言绝无丝毫日货混杂其间。”该现象反映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外交关系影响社会舆论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新文化运动</w:t>
      </w:r>
      <w:r>
        <w:rPr>
          <w:rFonts w:ascii="宋体" w:hAnsi="宋体" w:eastAsia="宋体" w:cs="宋体"/>
          <w:color w:val="000000"/>
          <w:position w:val="0"/>
        </w:rPr>
        <w:drawing>
          <wp:inline distT="0" distB="0" distL="114300" distR="114300">
            <wp:extent cx="133350" cy="177800"/>
            <wp:effectExtent l="0" t="0" r="0" b="13335"/>
            <wp:docPr id="100013" name="图片 10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深入发展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民族企业发展形势严峻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中外商业竞争愈发激烈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 w:eastAsia="宋体" w:cs="宋体"/>
          <w:color w:val="000000"/>
        </w:rPr>
        <w:t>全面抗战爆发后，八路军来到太行山区，山西省平顺县西沟村贫苦农民李顺达得以翻身。1943年，李顺达组织六户贫困农民成立农业劳动互助组。1950年，他参加了全国工农兵劳动英雄代表大会。1951年，李顺达互助组发起生产竞赛，全国各地纷纷响应。据此可知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根据地的经验延续至新中国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农业互助组是主要生产组织形式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劳模示范推动技术领域创新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互助合作推动三大改造顺利开展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 w:eastAsia="宋体" w:cs="宋体"/>
          <w:color w:val="000000"/>
        </w:rPr>
        <w:t>中国加入世界贸易组织经历了15年漫长历程。1986年，中国正式提出“复关”申请，此后数年谈判没有实质性进展。1992年10月以后，前期谈判的核心问题才迎刃而解。出现这种变化的主要原因是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世界两极格局的瓦解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中国特色社会主义理论体系初步形成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 </w:t>
      </w:r>
      <w:r>
        <w:rPr>
          <w:rFonts w:ascii="宋体" w:hAnsi="宋体" w:eastAsia="宋体" w:cs="宋体"/>
          <w:color w:val="000000"/>
        </w:rPr>
        <w:t>经济全球化快速发展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中国确立社会主义市场经济体制目标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 w:eastAsia="宋体" w:cs="宋体"/>
          <w:color w:val="000000"/>
        </w:rPr>
        <w:t>某学者关注世界历史上的一位著名统治者，研究其在位时期的文治武功。该统治者以恢复旧日罗马帝国的荣耀为己任，力图建立“一位皇帝、一部法律、一个帝国”的新秩序。最符合该研究主题的史实是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罗马帝国一分为二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都城改名为伊斯坦布尔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颁布第一部成文法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征服占领北非和意大利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 w:eastAsia="宋体" w:cs="宋体"/>
          <w:color w:val="000000"/>
        </w:rPr>
        <w:t>13世纪时，英格兰的一则小品剧中，庄园领主在法庭上公开讨论小麦、奶酪、鸡蛋和小乳猪的价格。无独有偶，《田庄总管职责》也提醒领主和总管，羊毛应该论包或以一只羊一次所剪的毛为单位出售，怎样卖收益最大、好处最多，就怎样卖。上述材料反映英格兰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封建庄园制度已濒临崩溃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庄园农产品获利丰厚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农业的经济转型趋势初显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圈地运动正迅速开展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 w:eastAsia="宋体" w:cs="宋体"/>
          <w:color w:val="000000"/>
        </w:rPr>
        <w:t>19世纪后期，从希腊神庙到拜占庭教堂的所有建筑风格，法国都有人模仿。“思想纯正”的建筑师们长期拒绝利用钢铁和钢筋混凝土等新工业材料，认为以埃菲尔为代表的这些人“不能妄称可以创造美”，尤其对1889年万国博览会之际出现的那座铁塔感到愤慨。这说明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技术进步改变民众生活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工业文明孕育艺术创新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启蒙运动影响设计理念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建筑风格固守历史传统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14. </w:t>
      </w:r>
      <w:r>
        <w:rPr>
          <w:rFonts w:ascii="宋体" w:hAnsi="宋体" w:eastAsia="宋体" w:cs="宋体"/>
          <w:color w:val="000000"/>
        </w:rPr>
        <w:t>在第一次世界大战中，殖民国家曾动用相当数量</w:t>
      </w:r>
      <w:r>
        <w:rPr>
          <w:rFonts w:ascii="宋体" w:hAnsi="宋体" w:eastAsia="宋体" w:cs="宋体"/>
          <w:color w:val="000000"/>
          <w:position w:val="0"/>
        </w:rPr>
        <w:drawing>
          <wp:inline distT="0" distB="0" distL="114300" distR="114300">
            <wp:extent cx="133350" cy="177800"/>
            <wp:effectExtent l="0" t="0" r="0" b="13335"/>
            <wp:docPr id="100017" name="图片 10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color w:val="000000"/>
        </w:rPr>
        <w:t>军力迫使非洲人支持宗主国。在第二次世界大战中，殖民国家不再仅仅依赖武力，而是更倾向于运用电影、无线电和报纸来推广战时宣传，鼓励和邀请非洲人支持欧洲战争。这种转变的主要原因是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宗主国殖民控制放松</w:t>
      </w:r>
      <w:r>
        <w:rPr>
          <w:rFonts w:hint="eastAsia" w:ascii="宋体" w:hAnsi="宋体" w:cs="宋体"/>
          <w:color w:val="000000"/>
          <w:lang w:val="en-US" w:eastAsia="zh-CN"/>
        </w:rPr>
        <w:t xml:space="preserve">  </w:t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非洲人民的广泛觉醒</w:t>
      </w:r>
      <w:r>
        <w:rPr>
          <w:rFonts w:hint="eastAsia" w:ascii="宋体" w:hAnsi="宋体" w:cs="宋体"/>
          <w:color w:val="000000"/>
          <w:lang w:val="en-US" w:eastAsia="zh-CN"/>
        </w:rPr>
        <w:t xml:space="preserve">  </w:t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现代技术手段的发展</w:t>
      </w:r>
      <w:r>
        <w:rPr>
          <w:rFonts w:hint="eastAsia" w:ascii="宋体" w:hAnsi="宋体" w:cs="宋体"/>
          <w:color w:val="000000"/>
          <w:lang w:val="en-US" w:eastAsia="zh-CN"/>
        </w:rPr>
        <w:t xml:space="preserve">   </w:t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世界大战性质的转变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15. </w:t>
      </w:r>
      <w:r>
        <w:rPr>
          <w:rFonts w:ascii="宋体" w:hAnsi="宋体" w:eastAsia="宋体" w:cs="宋体"/>
          <w:color w:val="000000"/>
        </w:rPr>
        <w:t>1946年6月25日，世界银行正式营业。截至1949年6月底，银行资产约为20.73亿美元，贷款审批情况如下表（单位：亿美元），这反映二战后初期世界银行</w:t>
      </w:r>
    </w:p>
    <w:tbl>
      <w:tblPr>
        <w:tblStyle w:val="4"/>
        <w:tblW w:w="76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31"/>
        <w:gridCol w:w="567"/>
        <w:gridCol w:w="660"/>
        <w:gridCol w:w="627"/>
        <w:gridCol w:w="660"/>
        <w:gridCol w:w="736"/>
        <w:gridCol w:w="567"/>
        <w:gridCol w:w="567"/>
        <w:gridCol w:w="660"/>
        <w:gridCol w:w="777"/>
        <w:gridCol w:w="567"/>
        <w:gridCol w:w="6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1140" w:hRule="atLeast"/>
        </w:trPr>
        <w:tc>
          <w:tcPr>
            <w:tcW w:w="6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货款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国别</w:t>
            </w:r>
          </w:p>
        </w:tc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法国</w:t>
            </w:r>
          </w:p>
        </w:tc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荷兰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南斯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拉夫</w:t>
            </w:r>
          </w:p>
        </w:tc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智利</w:t>
            </w:r>
          </w:p>
        </w:tc>
        <w:tc>
          <w:tcPr>
            <w:tcW w:w="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捷克斯洛伐克</w:t>
            </w:r>
          </w:p>
        </w:tc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丹麦</w:t>
            </w:r>
          </w:p>
        </w:tc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伊朗</w:t>
            </w:r>
          </w:p>
        </w:tc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卢森堡</w:t>
            </w:r>
          </w:p>
        </w:tc>
        <w:tc>
          <w:tcPr>
            <w:tcW w:w="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墨西哥</w:t>
            </w:r>
          </w:p>
        </w:tc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波兰</w:t>
            </w:r>
          </w:p>
        </w:tc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巴西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6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申请额</w:t>
            </w:r>
          </w:p>
        </w:tc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5</w:t>
            </w:r>
            <w:r>
              <w:rPr>
                <w:rFonts w:ascii="宋体" w:hAnsi="宋体" w:eastAsia="宋体" w:cs="宋体"/>
                <w:color w:val="000000"/>
                <w:position w:val="-22"/>
              </w:rPr>
              <w:drawing>
                <wp:inline distT="0" distB="0" distL="114300" distR="114300">
                  <wp:extent cx="31750" cy="88900"/>
                  <wp:effectExtent l="0" t="0" r="0" b="0"/>
                  <wp:docPr id="100011" name="图片 100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1" name="图片 10001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0" cy="8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eastAsia="宋体" w:cs="宋体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5.35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5.0</w:t>
            </w:r>
          </w:p>
        </w:tc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0.4</w:t>
            </w:r>
          </w:p>
        </w:tc>
        <w:tc>
          <w:tcPr>
            <w:tcW w:w="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3.5</w:t>
            </w:r>
          </w:p>
        </w:tc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0.5</w:t>
            </w:r>
          </w:p>
        </w:tc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2.5</w:t>
            </w:r>
          </w:p>
        </w:tc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0.2</w:t>
            </w:r>
          </w:p>
        </w:tc>
        <w:tc>
          <w:tcPr>
            <w:tcW w:w="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2.09</w:t>
            </w:r>
          </w:p>
        </w:tc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6.0</w:t>
            </w:r>
          </w:p>
        </w:tc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1.0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30" w:hRule="atLeast"/>
        </w:trPr>
        <w:tc>
          <w:tcPr>
            <w:tcW w:w="6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批准额</w:t>
            </w:r>
          </w:p>
        </w:tc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2.5</w:t>
            </w:r>
          </w:p>
        </w:tc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1.95</w:t>
            </w:r>
          </w:p>
        </w:tc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0.16</w:t>
            </w:r>
          </w:p>
        </w:tc>
        <w:tc>
          <w:tcPr>
            <w:tcW w:w="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</w:t>
            </w:r>
          </w:p>
        </w:tc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0.4</w:t>
            </w:r>
          </w:p>
        </w:tc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0.12</w:t>
            </w:r>
          </w:p>
        </w:tc>
        <w:tc>
          <w:tcPr>
            <w:tcW w:w="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0.341</w:t>
            </w:r>
          </w:p>
        </w:tc>
        <w:tc>
          <w:tcPr>
            <w:tcW w:w="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</w:t>
            </w:r>
          </w:p>
        </w:tc>
        <w:tc>
          <w:tcPr>
            <w:tcW w:w="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0.75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配合马歇尔计划的实施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贷款对象集中于不发达国家</w:t>
      </w:r>
    </w:p>
    <w:p>
      <w:pPr>
        <w:keepNext w:val="0"/>
        <w:keepLines w:val="0"/>
        <w:pageBreakBefore w:val="0"/>
        <w:widowControl w:val="0"/>
        <w:tabs>
          <w:tab w:val="left" w:pos="48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决策行为受到冷战影响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推动区域经济集团化的形成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16. </w:t>
      </w:r>
      <w:r>
        <w:rPr>
          <w:rFonts w:ascii="宋体" w:hAnsi="宋体" w:eastAsia="宋体" w:cs="宋体"/>
          <w:color w:val="000000"/>
        </w:rPr>
        <w:t>[军事人才的培养与选任]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材料一中国古代军事人才的培养与选任随时代变化而不断调整。西周“六艺”重视射、御。唐代设立武举，测试骑射、负重等。两宋至明代都延续武举，并设置武学。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就武举而言，两宋“以策（论）为去留，弓马为高下”，“凡武举，始试义、策于秘阁，武艺则试于殿前司，及殿试，则又试骑射及策”。由于统治者重文轻武，宋代士人有能力应进士举者，不屑于应武举。明弘治六年（1493）规定，武举“六岁一行，先策略，后弓马，策不中者不许骑射”。然而明代武职多荫袭，武举只是补充形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就武学而论，宋代武学“设教授以文武臣熟知兵事者充任……视看人材、试验弓马，合格者始许入学”。其教学内容除弓马武艺外，尤其重视“习诸家兵法，教授纂次历代用兵成败、前世忠义之节”。明代武学则增加了《论语》《孟子》等作为主要教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righ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——据《宋史》《明史》等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材料二“以弧矢定天下”的清王朝，武举渐以骑射、技勇为重。嘉庆年间改策论为默写武经百余字即合格。而武官选任则以行伍出身为正途，武举出身次之。就军事教育而言，清廷不再专设武学，而是在官学设立武学教习教授生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鸦片战争之后，清政府先后创办福州船政学堂、天津水师学堂、湖北武备学堂等新式学堂。其课程主要教授数、理、化等自然科学知识，以及新式炮台和营垒的构筑方法等工程技术。编练的新军按才学品行优劣、训练勤惰、考核成绩高低决定赏罚，排以上的军官须由军事学堂出身者担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righ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——摘编自《中国大通史》等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hint="eastAsia" w:ascii="宋体" w:hAnsi="宋体" w:eastAsia="宋体" w:cs="宋体"/>
          <w:color w:val="000000"/>
          <w:lang w:eastAsia="zh-CN"/>
        </w:rPr>
      </w:pPr>
      <w:r>
        <w:rPr>
          <w:rFonts w:hint="eastAsia" w:ascii="宋体" w:hAnsi="宋体" w:cs="宋体"/>
          <w:color w:val="000000"/>
          <w:lang w:eastAsia="zh-CN"/>
        </w:rPr>
        <w:t>（</w:t>
      </w:r>
      <w:r>
        <w:rPr>
          <w:rFonts w:hint="eastAsia" w:ascii="宋体" w:hAnsi="宋体" w:cs="宋体"/>
          <w:color w:val="000000"/>
          <w:lang w:val="en-US" w:eastAsia="zh-CN"/>
        </w:rPr>
        <w:t>1</w:t>
      </w:r>
      <w:r>
        <w:rPr>
          <w:rFonts w:hint="eastAsia" w:ascii="宋体" w:hAnsi="宋体" w:cs="宋体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根据材料一，概括宋明武举的共同特点。</w:t>
      </w:r>
      <w:r>
        <w:rPr>
          <w:rFonts w:hint="eastAsia" w:ascii="宋体" w:hAnsi="宋体" w:cs="宋体"/>
          <w:color w:val="000000"/>
          <w:lang w:eastAsia="zh-CN"/>
        </w:rPr>
        <w:t>（</w:t>
      </w:r>
      <w:r>
        <w:rPr>
          <w:rFonts w:hint="eastAsia" w:ascii="宋体" w:hAnsi="宋体" w:cs="宋体"/>
          <w:color w:val="000000"/>
          <w:lang w:val="en-US" w:eastAsia="zh-CN"/>
        </w:rPr>
        <w:t>4分</w:t>
      </w:r>
      <w:r>
        <w:rPr>
          <w:rFonts w:hint="eastAsia" w:ascii="宋体" w:hAnsi="宋体" w:cs="宋体"/>
          <w:color w:val="00000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jc w:val="left"/>
        <w:textAlignment w:val="center"/>
        <w:rPr>
          <w:rFonts w:hint="eastAsia" w:ascii="宋体" w:hAnsi="宋体" w:eastAsia="宋体" w:cs="宋体"/>
          <w:color w:val="000000"/>
          <w:lang w:eastAsia="zh-CN"/>
        </w:rPr>
      </w:pPr>
      <w:r>
        <w:rPr>
          <w:rFonts w:hint="eastAsia" w:ascii="宋体" w:hAnsi="宋体" w:cs="宋体"/>
          <w:color w:val="000000"/>
          <w:lang w:eastAsia="zh-CN"/>
        </w:rPr>
        <w:t>（</w:t>
      </w:r>
      <w:r>
        <w:rPr>
          <w:rFonts w:hint="eastAsia" w:ascii="宋体" w:hAnsi="宋体" w:cs="宋体"/>
          <w:color w:val="000000"/>
          <w:lang w:val="en-US" w:eastAsia="zh-CN"/>
        </w:rPr>
        <w:t>2</w:t>
      </w:r>
      <w:r>
        <w:rPr>
          <w:rFonts w:hint="eastAsia" w:ascii="宋体" w:hAnsi="宋体" w:cs="宋体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据材料并结合所学，阐述从宋明到清代军事人才培养与选任的变化及原因。</w:t>
      </w:r>
      <w:r>
        <w:rPr>
          <w:rFonts w:hint="eastAsia" w:ascii="宋体" w:hAnsi="宋体" w:cs="宋体"/>
          <w:color w:val="000000"/>
          <w:lang w:eastAsia="zh-CN"/>
        </w:rPr>
        <w:t>（</w:t>
      </w:r>
      <w:r>
        <w:rPr>
          <w:rFonts w:hint="eastAsia" w:ascii="宋体" w:hAnsi="宋体" w:cs="宋体"/>
          <w:color w:val="000000"/>
          <w:lang w:val="en-US" w:eastAsia="zh-CN"/>
        </w:rPr>
        <w:t>12分</w:t>
      </w:r>
      <w:r>
        <w:rPr>
          <w:rFonts w:hint="eastAsia" w:ascii="宋体" w:hAnsi="宋体" w:cs="宋体"/>
          <w:color w:val="00000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17. </w:t>
      </w:r>
      <w:r>
        <w:rPr>
          <w:rFonts w:ascii="宋体" w:hAnsi="宋体" w:eastAsia="宋体" w:cs="宋体"/>
          <w:color w:val="000000"/>
        </w:rPr>
        <w:t>[根据地与敌后抗战]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材料一八路军在华北的战略展开，大体上经历了三个阶段：太原失守以前，八路军主要是以游击战和游击运动战直接在战役上配合友军作战，以少部兵力进行发动群众和组织群众武装的工作；太原失守以后，八路军各师主力分别在晋察冀、晋东南、晋西北和晋西南开展独立自主的山地游击战争；1938年4月以后，八路军实行大幅度分兵，向河北、豫北平原、山东、冀热边和绥远等华北广大敌后区域发展游击战争，开辟了广大的敌后战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righ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——摘自中共中央党史研究室《中国共产党历史》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材料二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610610" cy="2551430"/>
            <wp:effectExtent l="0" t="0" r="8890" b="1270"/>
            <wp:docPr id="100009" name="图片 10000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10610" cy="255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  <w:r>
        <w:rPr>
          <w:rFonts w:ascii="宋体" w:hAnsi="宋体" w:eastAsia="宋体" w:cs="宋体"/>
          <w:color w:val="000000"/>
        </w:rPr>
        <w:t>根据材料一并结合所学，简述八路军在华北战略展开的意义。</w:t>
      </w:r>
      <w:r>
        <w:rPr>
          <w:rFonts w:hint="eastAsia" w:ascii="宋体" w:hAnsi="宋体" w:cs="宋体"/>
          <w:color w:val="000000"/>
          <w:lang w:eastAsia="zh-CN"/>
        </w:rPr>
        <w:t>（</w:t>
      </w:r>
      <w:r>
        <w:rPr>
          <w:rFonts w:hint="eastAsia" w:ascii="宋体" w:hAnsi="宋体" w:cs="宋体"/>
          <w:color w:val="000000"/>
          <w:lang w:val="en-US" w:eastAsia="zh-CN"/>
        </w:rPr>
        <w:t>6分</w:t>
      </w:r>
      <w:r>
        <w:rPr>
          <w:rFonts w:hint="eastAsia" w:ascii="宋体" w:hAnsi="宋体" w:cs="宋体"/>
          <w:color w:val="00000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left"/>
        <w:textAlignment w:val="center"/>
        <w:rPr>
          <w:rFonts w:ascii="宋体" w:hAnsi="宋体" w:eastAsia="宋体" w:cs="宋体"/>
          <w:color w:val="000000"/>
        </w:rPr>
      </w:pPr>
      <w:r>
        <w:rPr>
          <w:rFonts w:ascii="宋体" w:hAnsi="宋体" w:eastAsia="宋体" w:cs="宋体"/>
          <w:color w:val="000000"/>
        </w:rPr>
        <w:t>根据材料并结合所学，指出华北敌后抗日根据地的分布特征，并分析敌后抗战的战争形式以“游击战”为主的原因。</w:t>
      </w:r>
      <w:r>
        <w:rPr>
          <w:rFonts w:hint="eastAsia" w:ascii="宋体" w:hAnsi="宋体" w:cs="宋体"/>
          <w:color w:val="000000"/>
          <w:lang w:eastAsia="zh-CN"/>
        </w:rPr>
        <w:t>（</w:t>
      </w:r>
      <w:r>
        <w:rPr>
          <w:rFonts w:hint="eastAsia" w:ascii="宋体" w:hAnsi="宋体" w:cs="宋体"/>
          <w:color w:val="000000"/>
          <w:lang w:val="en-US" w:eastAsia="zh-CN"/>
        </w:rPr>
        <w:t>10分</w:t>
      </w:r>
      <w:r>
        <w:rPr>
          <w:rFonts w:hint="eastAsia" w:ascii="宋体" w:hAnsi="宋体" w:cs="宋体"/>
          <w:color w:val="000000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center"/>
        <w:rPr>
          <w:rFonts w:ascii="宋体" w:hAnsi="宋体" w:eastAsia="宋体" w:cs="宋体"/>
          <w:color w:val="000000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720" w:right="720" w:bottom="720" w:left="720" w:header="152" w:footer="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</w:pPr>
    <w:r>
      <w:t>第</w:t>
    </w:r>
    <w:r>
      <w:fldChar w:fldCharType="begin"/>
    </w:r>
    <w:r>
      <w:instrText xml:space="preserve">PAGE</w:instrText>
    </w:r>
    <w:r>
      <w:fldChar w:fldCharType="separate"/>
    </w:r>
    <w:r>
      <w:t>1</w:t>
    </w:r>
    <w:r>
      <w:fldChar w:fldCharType="end"/>
    </w:r>
    <w:r>
      <w:t>页/共</w:t>
    </w:r>
    <w:r>
      <w:fldChar w:fldCharType="begin"/>
    </w:r>
    <w:r>
      <w:instrText xml:space="preserve">NUMPAGES</w:instrText>
    </w:r>
    <w:r>
      <w:fldChar w:fldCharType="separate"/>
    </w:r>
    <w:r>
      <w:t>1</w:t>
    </w:r>
    <w:r>
      <w:fldChar w:fldCharType="end"/>
    </w:r>
    <w:r>
      <w:t>页</w:t>
    </w:r>
  </w:p>
  <w:p>
    <w:pPr>
      <w:pStyle w:val="2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4098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4099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cs="Times New Roman"/>
        <w:color w:val="FFFFFF"/>
        <w:kern w:val="0"/>
        <w:sz w:val="2"/>
        <w:szCs w:val="2"/>
      </w:rPr>
      <w:t>学科网（北京）股份有限公司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  <w:r>
      <w:drawing>
        <wp:inline distT="0" distB="0" distL="0" distR="0">
          <wp:extent cx="802005" cy="256540"/>
          <wp:effectExtent l="0" t="0" r="0" b="0"/>
          <wp:docPr id="171615620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56202" name="图片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8273" cy="2622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drawing>
        <wp:inline distT="0" distB="0" distL="0" distR="0">
          <wp:extent cx="845820" cy="304165"/>
          <wp:effectExtent l="0" t="0" r="0" b="635"/>
          <wp:docPr id="1" name="图片 1" descr="C:\Users\0\Documents\Tencent Files\804397265\Image\C2C\Image3\$_Z{R_2L8%1DU0RC6ZU7{4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C:\Users\0\Documents\Tencent Files\804397265\Image\C2C\Image3\$_Z{R_2L8%1DU0RC6ZU7{4C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000" cy="3047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>
    <w:pPr>
      <w:pBdr>
        <w:bottom w:val="none" w:color="auto" w:sz="0" w:space="1"/>
      </w:pBdr>
      <w:snapToGrid w:val="0"/>
      <w:rPr>
        <w:rFonts w:cs="Times New Roman"/>
        <w:kern w:val="0"/>
        <w:sz w:val="2"/>
        <w:szCs w:val="2"/>
      </w:rPr>
    </w:pPr>
    <w:r>
      <w:pict>
        <v:shape id="图片 4" o:spid="_x0000_s4097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3" r:href="rId4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24AF89"/>
    <w:multiLevelType w:val="singleLevel"/>
    <w:tmpl w:val="F424AF8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Q5ODA4YjBkOGIwYTUxOWIzYTkwM2U5YjU0OWM1NzIifQ=="/>
  </w:docVars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3B6630F5"/>
    <w:rsid w:val="782D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nhideWhenUsed="0" w:uiPriority="0" w:semiHidden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iPriority="0" w:name="Balloon Text"/>
    <w:lsdException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Hyperlink"/>
    <w:basedOn w:val="5"/>
    <w:unhideWhenUsed/>
    <w:qFormat/>
    <w:uiPriority w:val="99"/>
    <w:rPr>
      <w:color w:val="0000FF"/>
      <w:u w:val="single"/>
    </w:rPr>
  </w:style>
  <w:style w:type="character" w:customStyle="1" w:styleId="7">
    <w:name w:val="页眉 字符"/>
    <w:basedOn w:val="5"/>
    <w:link w:val="3"/>
    <w:qFormat/>
    <w:uiPriority w:val="99"/>
    <w:rPr>
      <w:kern w:val="2"/>
      <w:sz w:val="18"/>
      <w:szCs w:val="24"/>
    </w:rPr>
  </w:style>
  <w:style w:type="paragraph" w:styleId="8">
    <w:name w:val="No Spacing"/>
    <w:qFormat/>
    <w:uiPriority w:val="1"/>
    <w:rPr>
      <w:rFonts w:eastAsia="Microsoft YaHei UI" w:asciiTheme="minorHAnsi" w:hAnsiTheme="minorHAnsi" w:cstheme="minorBidi"/>
      <w:sz w:val="22"/>
      <w:szCs w:val="22"/>
      <w:lang w:val="en-US" w:eastAsia="zh-CN" w:bidi="ar-SA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9.png"/><Relationship Id="rId14" Type="http://schemas.openxmlformats.org/officeDocument/2006/relationships/image" Target="media/image8.wmf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wmf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257B75232B38-A165-1FB7-499C-2E1C792CACB5%25257D.png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file:///D:\qq&#25991;&#20214;\712321467\Image\C2C\Image2\%25257B75232B38-A165-1FB7-499C-2E1C792CACB5%25257D.png" TargetMode="External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4098"/>
    <customShpInfo spid="_x0000_s409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5590A68-9B32-4A13-894C-0880676F012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学科网 www.zxxk.com</Company>
  <Pages>5</Pages>
  <Words>4199</Words>
  <Characters>4485</Characters>
  <Lines>0</Lines>
  <Paragraphs>0</Paragraphs>
  <TotalTime>12</TotalTime>
  <ScaleCrop>false</ScaleCrop>
  <LinksUpToDate>false</LinksUpToDate>
  <CharactersWithSpaces>4602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2023-07-13T15:50:00Z</dcterms:created>
  <dc:creator>学科网试题生产平台</dc:creator>
  <dc:description>3259524479827968</dc:description>
  <cp:lastModifiedBy>王昌立</cp:lastModifiedBy>
  <dcterms:modified xsi:type="dcterms:W3CDTF">2023-07-27T02:56:19Z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2052-11.1.0.14309</vt:lpwstr>
  </property>
  <property fmtid="{D5CDD505-2E9C-101B-9397-08002B2CF9AE}" pid="7" name="ICV">
    <vt:lpwstr>58C72B226192431D9F3292CA9D154FF7_12</vt:lpwstr>
  </property>
</Properties>
</file>