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tc>
          <w:tcPr>
            <w:tcW w:w="1248" w:type="dxa"/>
            <w:vAlign w:val="center"/>
          </w:tcPr>
          <w:p>
            <w:pPr>
              <w:jc w:val="center"/>
              <w:rPr>
                <w:rFonts w:ascii="宋体" w:hAnsi="宋体"/>
                <w:b/>
                <w:sz w:val="24"/>
              </w:rPr>
            </w:pPr>
            <w:r>
              <w:rPr>
                <w:rFonts w:hint="eastAsia" w:ascii="宋体" w:hAnsi="宋体"/>
                <w:b/>
                <w:sz w:val="24"/>
              </w:rPr>
              <w:t>文献题目</w:t>
            </w:r>
          </w:p>
        </w:tc>
        <w:tc>
          <w:tcPr>
            <w:tcW w:w="2852" w:type="dxa"/>
            <w:vAlign w:val="center"/>
          </w:tcPr>
          <w:p>
            <w:pPr>
              <w:jc w:val="center"/>
              <w:rPr>
                <w:rFonts w:hint="default" w:ascii="宋体" w:hAnsi="宋体" w:eastAsia="宋体"/>
                <w:sz w:val="24"/>
                <w:lang w:val="en-US" w:eastAsia="zh-CN"/>
              </w:rPr>
            </w:pPr>
            <w:r>
              <w:rPr>
                <w:rFonts w:hint="eastAsia" w:ascii="宋体" w:hAnsi="宋体"/>
                <w:sz w:val="24"/>
                <w:lang w:val="en-US" w:eastAsia="zh-CN"/>
              </w:rPr>
              <w:t>小学科学课中工程思维培养的行动研究</w:t>
            </w:r>
          </w:p>
        </w:tc>
        <w:tc>
          <w:tcPr>
            <w:tcW w:w="1380" w:type="dxa"/>
            <w:vAlign w:val="center"/>
          </w:tcPr>
          <w:p>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pPr>
              <w:jc w:val="center"/>
              <w:rPr>
                <w:rFonts w:hint="default" w:ascii="宋体" w:hAnsi="宋体"/>
                <w:szCs w:val="21"/>
                <w:lang w:val="en-US"/>
              </w:rPr>
            </w:pPr>
            <w:r>
              <w:rPr>
                <w:rFonts w:hint="eastAsia" w:ascii="宋体" w:hAnsi="宋体"/>
                <w:color w:val="000000" w:themeColor="text1"/>
                <w:sz w:val="24"/>
                <w:lang w:val="en-US" w:eastAsia="zh-CN"/>
                <w14:textFill>
                  <w14:solidFill>
                    <w14:schemeClr w14:val="tx1"/>
                  </w14:solidFill>
                </w14:textFill>
              </w:rPr>
              <w:t>2024.3</w:t>
            </w:r>
          </w:p>
        </w:tc>
      </w:tr>
      <w:tr>
        <w:tc>
          <w:tcPr>
            <w:tcW w:w="1248" w:type="dxa"/>
            <w:vAlign w:val="center"/>
          </w:tcPr>
          <w:p>
            <w:pPr>
              <w:jc w:val="center"/>
              <w:rPr>
                <w:rFonts w:ascii="宋体" w:hAnsi="宋体"/>
                <w:b/>
                <w:sz w:val="24"/>
              </w:rPr>
            </w:pPr>
            <w:r>
              <w:rPr>
                <w:rFonts w:hint="eastAsia" w:ascii="宋体" w:hAnsi="宋体"/>
                <w:b/>
                <w:sz w:val="24"/>
              </w:rPr>
              <w:t>研究教师</w:t>
            </w:r>
          </w:p>
        </w:tc>
        <w:tc>
          <w:tcPr>
            <w:tcW w:w="2852" w:type="dxa"/>
            <w:vAlign w:val="center"/>
          </w:tcPr>
          <w:p>
            <w:pPr>
              <w:jc w:val="center"/>
              <w:rPr>
                <w:rFonts w:ascii="宋体" w:hAnsi="宋体"/>
                <w:sz w:val="24"/>
              </w:rPr>
            </w:pPr>
            <w:r>
              <w:rPr>
                <w:rFonts w:hint="eastAsia" w:ascii="宋体" w:hAnsi="宋体"/>
                <w:sz w:val="24"/>
                <w:lang w:val="en-US" w:eastAsia="zh-CN"/>
              </w:rPr>
              <w:t>胡颖</w:t>
            </w:r>
          </w:p>
        </w:tc>
        <w:tc>
          <w:tcPr>
            <w:tcW w:w="1380" w:type="dxa"/>
            <w:vAlign w:val="center"/>
          </w:tcPr>
          <w:p>
            <w:pPr>
              <w:jc w:val="center"/>
              <w:rPr>
                <w:rFonts w:ascii="宋体" w:hAnsi="宋体"/>
                <w:b/>
                <w:sz w:val="24"/>
              </w:rPr>
            </w:pPr>
            <w:r>
              <w:rPr>
                <w:rFonts w:hint="eastAsia" w:ascii="宋体" w:hAnsi="宋体"/>
                <w:b/>
                <w:sz w:val="24"/>
              </w:rPr>
              <w:t>文献来源</w:t>
            </w:r>
          </w:p>
        </w:tc>
        <w:tc>
          <w:tcPr>
            <w:tcW w:w="2884" w:type="dxa"/>
            <w:vAlign w:val="center"/>
          </w:tcPr>
          <w:p>
            <w:pPr>
              <w:jc w:val="center"/>
              <w:rPr>
                <w:rFonts w:ascii="宋体" w:hAnsi="宋体"/>
                <w:sz w:val="24"/>
              </w:rPr>
            </w:pPr>
            <w:r>
              <w:rPr>
                <w:rFonts w:hint="eastAsia" w:ascii="宋体" w:hAnsi="宋体"/>
                <w:sz w:val="24"/>
              </w:rPr>
              <w:t>《“工程思维视域下小学科学学科实践的全域推进研究”文献汇编》</w:t>
            </w:r>
          </w:p>
        </w:tc>
      </w:tr>
      <w:tr>
        <w:tc>
          <w:tcPr>
            <w:tcW w:w="8364" w:type="dxa"/>
            <w:gridSpan w:val="4"/>
          </w:tcPr>
          <w:p>
            <w:pPr>
              <w:keepNext w:val="0"/>
              <w:keepLines w:val="0"/>
              <w:pageBreakBefore w:val="0"/>
              <w:kinsoku/>
              <w:wordWrap/>
              <w:overflowPunct/>
              <w:topLinePunct w:val="0"/>
              <w:autoSpaceDE/>
              <w:autoSpaceDN/>
              <w:bidi w:val="0"/>
              <w:adjustRightInd/>
              <w:snapToGrid/>
              <w:spacing w:line="288" w:lineRule="auto"/>
              <w:textAlignment w:val="auto"/>
              <w:rPr>
                <w:rFonts w:hint="eastAsia" w:ascii="宋体" w:hAnsi="宋体" w:eastAsia="宋体"/>
                <w:b/>
                <w:sz w:val="24"/>
                <w:lang w:eastAsia="zh-CN"/>
              </w:rPr>
            </w:pPr>
            <w:r>
              <w:rPr>
                <w:rFonts w:hint="eastAsia" w:ascii="宋体" w:hAnsi="宋体"/>
                <w:b/>
                <w:sz w:val="24"/>
              </w:rPr>
              <w:t>内容摘要：</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b/>
                <w:sz w:val="24"/>
                <w:szCs w:val="24"/>
              </w:rPr>
            </w:pPr>
            <w:r>
              <w:rPr>
                <w:rFonts w:hint="eastAsia" w:ascii="宋体" w:hAnsi="宋体"/>
                <w:b/>
                <w:sz w:val="24"/>
                <w:szCs w:val="24"/>
                <w:lang w:val="en-US" w:eastAsia="zh-CN"/>
              </w:rPr>
              <w:t>【研究背景】</w:t>
            </w:r>
            <w:r>
              <w:rPr>
                <w:rFonts w:hint="eastAsia" w:ascii="宋体" w:hAnsi="宋体"/>
                <w:b/>
                <w:sz w:val="24"/>
                <w:szCs w:val="24"/>
              </w:rPr>
              <w:t xml:space="preserve"> </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40" w:firstLineChars="200"/>
              <w:jc w:val="left"/>
              <w:textAlignment w:val="auto"/>
              <w:rPr>
                <w:rFonts w:ascii="宋体" w:hAnsi="宋体" w:eastAsia="宋体" w:cs="宋体"/>
                <w:color w:val="000000"/>
                <w:kern w:val="0"/>
                <w:sz w:val="22"/>
                <w:szCs w:val="22"/>
                <w:lang w:val="en-US" w:eastAsia="zh-CN" w:bidi="ar"/>
              </w:rPr>
            </w:pPr>
            <w:r>
              <w:rPr>
                <w:rFonts w:ascii="宋体" w:hAnsi="宋体" w:eastAsia="宋体" w:cs="宋体"/>
                <w:color w:val="000000"/>
                <w:kern w:val="0"/>
                <w:sz w:val="22"/>
                <w:szCs w:val="22"/>
                <w:lang w:val="en-US" w:eastAsia="zh-CN" w:bidi="ar"/>
              </w:rPr>
              <w:t>从思维特点角度看，工程思维是一种比较高阶的思维，它强调的是综合运用各种知识从而有计划解决实际问题的能力。无论是不是工程专业的学生，这种分析真实问题的能力都是不可或缺的，在运用工程思维解决问题时，能将理论知识和现实世界联系在一起，促进知识的内化，并最终发展成能够解决生活、学习、工作中各类问题的高阶思维能力。但是思维能力的培养是一个缓慢的长期的过程，需要在长期的学习和实践中，才能有较大的提升，因此在小学就开始注重培养，无疑能起到很好的奠基作用。</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40" w:firstLineChars="200"/>
              <w:jc w:val="left"/>
              <w:textAlignment w:val="auto"/>
              <w:rPr>
                <w:sz w:val="22"/>
                <w:szCs w:val="22"/>
              </w:rPr>
            </w:pPr>
            <w:r>
              <w:rPr>
                <w:rFonts w:ascii="宋体" w:hAnsi="宋体" w:eastAsia="宋体" w:cs="宋体"/>
                <w:color w:val="000000"/>
                <w:kern w:val="0"/>
                <w:sz w:val="22"/>
                <w:szCs w:val="22"/>
                <w:lang w:val="en-US" w:eastAsia="zh-CN" w:bidi="ar"/>
              </w:rPr>
              <w:t>“实践”一词的概念内涵则非常丰富，不仅强调“动手”，也强调“动脑</w:t>
            </w:r>
            <w:r>
              <w:rPr>
                <w:rFonts w:hint="eastAsia" w:ascii="宋体" w:hAnsi="宋体" w:cs="宋体"/>
                <w:color w:val="000000"/>
                <w:kern w:val="0"/>
                <w:sz w:val="22"/>
                <w:szCs w:val="22"/>
                <w:lang w:val="en-US" w:eastAsia="zh-CN" w:bidi="ar"/>
              </w:rPr>
              <w:t>”“</w:t>
            </w:r>
            <w:r>
              <w:rPr>
                <w:rFonts w:ascii="宋体" w:hAnsi="宋体" w:eastAsia="宋体" w:cs="宋体"/>
                <w:color w:val="000000"/>
                <w:kern w:val="0"/>
                <w:sz w:val="22"/>
                <w:szCs w:val="22"/>
                <w:lang w:val="en-US" w:eastAsia="zh-CN" w:bidi="ar"/>
              </w:rPr>
              <w:t>动嘴”和“动笔”等，把科学思考能力的培养作为科学教学的目标，帮助学生在实践中构建自己的科学理论，同时也强调科学的社会活动的特点，让学生在交流合作中，让不同的观点发生碰撞，以解决存在的问题。</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b/>
                <w:sz w:val="22"/>
                <w:szCs w:val="22"/>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b/>
                <w:sz w:val="24"/>
                <w:szCs w:val="24"/>
              </w:rPr>
            </w:pPr>
            <w:r>
              <w:rPr>
                <w:rFonts w:hint="eastAsia" w:ascii="宋体" w:hAnsi="宋体"/>
                <w:b/>
                <w:sz w:val="24"/>
                <w:szCs w:val="24"/>
                <w:lang w:val="en-US" w:eastAsia="zh-CN"/>
              </w:rPr>
              <w:t>【研究内容】</w:t>
            </w:r>
            <w:r>
              <w:rPr>
                <w:rFonts w:hint="eastAsia" w:ascii="宋体" w:hAnsi="宋体"/>
                <w:b/>
                <w:sz w:val="24"/>
                <w:szCs w:val="24"/>
              </w:rPr>
              <w:t xml:space="preserve"> </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sz w:val="22"/>
                <w:szCs w:val="22"/>
              </w:rPr>
            </w:pPr>
            <w:r>
              <w:rPr>
                <w:rFonts w:ascii="宋体" w:hAnsi="宋体" w:eastAsia="宋体" w:cs="宋体"/>
                <w:color w:val="000000"/>
                <w:kern w:val="0"/>
                <w:sz w:val="22"/>
                <w:szCs w:val="22"/>
                <w:lang w:val="en-US" w:eastAsia="zh-CN" w:bidi="ar"/>
              </w:rPr>
              <w:t xml:space="preserve">（1）在教学实践中发现小学科学教学中工程教育薄弱，学生的工程性思维得不到培养。因此笔者对《小学科学课程标准》和 NGSS 进行梳理和对比，找出对小学工程思维的培养研究的启示。 </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sz w:val="22"/>
                <w:szCs w:val="22"/>
              </w:rPr>
            </w:pPr>
            <w:r>
              <w:rPr>
                <w:rFonts w:ascii="宋体" w:hAnsi="宋体" w:eastAsia="宋体" w:cs="宋体"/>
                <w:color w:val="000000"/>
                <w:kern w:val="0"/>
                <w:sz w:val="22"/>
                <w:szCs w:val="22"/>
                <w:lang w:val="en-US" w:eastAsia="zh-CN" w:bidi="ar"/>
              </w:rPr>
              <w:t xml:space="preserve">（2）通过文献分析和实践研究，基于现有的模型以及一些理论，设计小学科学培养工程思维的 STEM 教学模型。 </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sz w:val="22"/>
                <w:szCs w:val="22"/>
              </w:rPr>
            </w:pPr>
            <w:r>
              <w:rPr>
                <w:rFonts w:ascii="宋体" w:hAnsi="宋体" w:eastAsia="宋体" w:cs="宋体"/>
                <w:color w:val="000000"/>
                <w:kern w:val="0"/>
                <w:sz w:val="22"/>
                <w:szCs w:val="22"/>
                <w:lang w:val="en-US" w:eastAsia="zh-CN" w:bidi="ar"/>
              </w:rPr>
              <w:t xml:space="preserve">（3）以小学科学培养工程思维的 STEM 教学模型为基础，结合《小学科学课程标准》和 STEM 教育相关案例的研究，进行教学设计的开发，并在小学科学课堂上进行实践。 </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sz w:val="22"/>
                <w:szCs w:val="22"/>
              </w:rPr>
            </w:pPr>
            <w:r>
              <w:rPr>
                <w:rFonts w:ascii="宋体" w:hAnsi="宋体" w:eastAsia="宋体" w:cs="宋体"/>
                <w:color w:val="000000"/>
                <w:kern w:val="0"/>
                <w:sz w:val="22"/>
                <w:szCs w:val="22"/>
                <w:lang w:val="en-US" w:eastAsia="zh-CN" w:bidi="ar"/>
              </w:rPr>
              <w:t xml:space="preserve">（4）在教学结束后，对学生自评表和课后调查表进行总结和分析，基于结果论证模型的科学性和可操作性，以及验证教学设计能否对工程性思维的培养起到一定作用。 </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ascii="宋体" w:hAnsi="宋体" w:eastAsia="宋体" w:cs="宋体"/>
                <w:color w:val="000000"/>
                <w:kern w:val="0"/>
                <w:sz w:val="22"/>
                <w:szCs w:val="22"/>
                <w:lang w:val="en-US" w:eastAsia="zh-CN" w:bidi="ar"/>
              </w:rPr>
            </w:pPr>
            <w:r>
              <w:rPr>
                <w:rFonts w:ascii="宋体" w:hAnsi="宋体" w:eastAsia="宋体" w:cs="宋体"/>
                <w:color w:val="000000"/>
                <w:kern w:val="0"/>
                <w:sz w:val="22"/>
                <w:szCs w:val="22"/>
                <w:lang w:val="en-US" w:eastAsia="zh-CN" w:bidi="ar"/>
              </w:rPr>
              <w:t>（5）根据教学设计的实施情况以及结果的分析得出结论，在此基础上进行反思，并总结不足之处。</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spacing w:line="440" w:lineRule="exact"/>
              <w:rPr>
                <w:rFonts w:hint="eastAsia" w:ascii="宋体" w:hAnsi="宋体" w:eastAsia="宋体"/>
                <w:b/>
                <w:sz w:val="24"/>
                <w:lang w:val="en-US" w:eastAsia="zh-CN"/>
              </w:rPr>
            </w:pPr>
            <w:r>
              <w:rPr>
                <w:rFonts w:hint="eastAsia" w:ascii="宋体" w:hAnsi="宋体" w:eastAsia="宋体"/>
                <w:b/>
                <w:sz w:val="24"/>
                <w:lang w:val="en-US" w:eastAsia="zh-CN"/>
              </w:rPr>
              <w:t>【模型设计记录】</w:t>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drawing>
                <wp:inline distT="0" distB="0" distL="114300" distR="114300">
                  <wp:extent cx="3582670" cy="1943735"/>
                  <wp:effectExtent l="0" t="0" r="24130" b="12065"/>
                  <wp:docPr id="1" name="图片 1" descr="e4076c8d75002cdcf477e1684a80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4076c8d75002cdcf477e1684a805172"/>
                          <pic:cNvPicPr>
                            <a:picLocks noChangeAspect="1"/>
                          </pic:cNvPicPr>
                        </pic:nvPicPr>
                        <pic:blipFill>
                          <a:blip r:embed="rId10"/>
                          <a:stretch>
                            <a:fillRect/>
                          </a:stretch>
                        </pic:blipFill>
                        <pic:spPr>
                          <a:xfrm>
                            <a:off x="0" y="0"/>
                            <a:ext cx="3582670" cy="1943735"/>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drawing>
                <wp:inline distT="0" distB="0" distL="114300" distR="114300">
                  <wp:extent cx="5170805" cy="2308225"/>
                  <wp:effectExtent l="0" t="0" r="10795" b="3175"/>
                  <wp:docPr id="6" name="图片 6" descr="8251f565563c49f38cfd624c07049e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8251f565563c49f38cfd624c07049e9d"/>
                          <pic:cNvPicPr>
                            <a:picLocks noChangeAspect="1"/>
                          </pic:cNvPicPr>
                        </pic:nvPicPr>
                        <pic:blipFill>
                          <a:blip r:embed="rId11"/>
                          <a:stretch>
                            <a:fillRect/>
                          </a:stretch>
                        </pic:blipFill>
                        <pic:spPr>
                          <a:xfrm>
                            <a:off x="0" y="0"/>
                            <a:ext cx="5170805" cy="2308225"/>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r>
              <w:drawing>
                <wp:inline distT="0" distB="0" distL="114300" distR="114300">
                  <wp:extent cx="4972050" cy="2276475"/>
                  <wp:effectExtent l="0" t="0" r="635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2"/>
                          <a:stretch>
                            <a:fillRect/>
                          </a:stretch>
                        </pic:blipFill>
                        <pic:spPr>
                          <a:xfrm>
                            <a:off x="0" y="0"/>
                            <a:ext cx="4972050" cy="2276475"/>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宋体" w:hAnsi="宋体" w:cs="宋体"/>
                <w:color w:val="000000"/>
                <w:kern w:val="0"/>
                <w:sz w:val="22"/>
                <w:szCs w:val="22"/>
                <w:lang w:val="en-US" w:eastAsia="zh-CN" w:bidi="ar"/>
              </w:rPr>
            </w:pPr>
          </w:p>
          <w:p>
            <w:pPr>
              <w:keepNext w:val="0"/>
              <w:keepLines w:val="0"/>
              <w:pageBreakBefore w:val="0"/>
              <w:kinsoku/>
              <w:wordWrap/>
              <w:overflowPunct/>
              <w:topLinePunct w:val="0"/>
              <w:autoSpaceDE/>
              <w:autoSpaceDN/>
              <w:bidi w:val="0"/>
              <w:adjustRightInd/>
              <w:snapToGrid/>
              <w:spacing w:line="288" w:lineRule="auto"/>
              <w:textAlignment w:val="auto"/>
              <w:rPr>
                <w:rFonts w:ascii="宋体" w:hAnsi="宋体"/>
                <w:sz w:val="24"/>
              </w:rPr>
            </w:pPr>
          </w:p>
        </w:tc>
      </w:tr>
      <w:tr>
        <w:tc>
          <w:tcPr>
            <w:tcW w:w="8364" w:type="dxa"/>
            <w:gridSpan w:val="4"/>
          </w:tcPr>
          <w:p>
            <w:pPr>
              <w:spacing w:line="440" w:lineRule="exact"/>
              <w:rPr>
                <w:rFonts w:ascii="宋体" w:hAnsi="宋体"/>
                <w:b/>
                <w:sz w:val="24"/>
              </w:rPr>
            </w:pPr>
            <w:r>
              <w:rPr>
                <w:rFonts w:hint="eastAsia" w:ascii="宋体" w:hAnsi="宋体"/>
                <w:b/>
                <w:sz w:val="24"/>
                <w:lang w:eastAsia="zh-CN"/>
              </w:rPr>
              <w:t>【</w:t>
            </w:r>
            <w:r>
              <w:rPr>
                <w:rFonts w:hint="eastAsia" w:ascii="宋体" w:hAnsi="宋体"/>
                <w:b/>
                <w:sz w:val="24"/>
              </w:rPr>
              <w:t>读后感悟</w:t>
            </w:r>
            <w:r>
              <w:rPr>
                <w:rFonts w:hint="eastAsia" w:ascii="宋体" w:hAnsi="宋体"/>
                <w:b/>
                <w:sz w:val="24"/>
                <w:lang w:eastAsia="zh-CN"/>
              </w:rPr>
              <w:t>】</w:t>
            </w:r>
            <w:r>
              <w:rPr>
                <w:rFonts w:hint="eastAsia" w:ascii="宋体" w:hAnsi="宋体"/>
                <w:b/>
                <w:sz w:val="24"/>
              </w:rPr>
              <w:t>：</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r>
              <w:rPr>
                <w:rFonts w:ascii="宋体" w:hAnsi="宋体" w:eastAsia="宋体" w:cs="宋体"/>
                <w:color w:val="000000"/>
                <w:kern w:val="0"/>
                <w:sz w:val="22"/>
                <w:szCs w:val="22"/>
                <w:lang w:val="en-US" w:eastAsia="zh-CN" w:bidi="ar"/>
              </w:rPr>
              <w:t>STEM 教育的萌芽开始于对科学、技术领域人才的重视，为了培养更多科技创新型人才，因而开始了一系列对教育的改革。学科角度上看，STEM教育并不是突然出现的，而是在各学科发展到一定程度后自然形成的，从最初的对个别学科的重视，再到科学、技术、工程和数学各学科的百花齐放，人们发现了要解决真实情境下的问题，需要将这些学科知识灵活运用，融会贯通，学科融合程度得到进一步加大，</w:t>
            </w:r>
            <w:r>
              <w:rPr>
                <w:rFonts w:hint="eastAsia" w:ascii="宋体" w:hAnsi="宋体" w:eastAsia="宋体" w:cs="宋体"/>
                <w:color w:val="000000"/>
                <w:kern w:val="0"/>
                <w:sz w:val="22"/>
                <w:szCs w:val="22"/>
                <w:lang w:val="en-US" w:eastAsia="zh-CN" w:bidi="ar"/>
              </w:rPr>
              <w:t>科学课中</w:t>
            </w:r>
            <w:r>
              <w:rPr>
                <w:rFonts w:ascii="宋体" w:hAnsi="宋体" w:eastAsia="宋体" w:cs="宋体"/>
                <w:color w:val="000000"/>
                <w:kern w:val="0"/>
                <w:sz w:val="22"/>
                <w:szCs w:val="22"/>
                <w:lang w:val="en-US" w:eastAsia="zh-CN" w:bidi="ar"/>
              </w:rPr>
              <w:t>“STEAM”教育</w:t>
            </w:r>
            <w:r>
              <w:rPr>
                <w:rFonts w:hint="eastAsia" w:ascii="宋体" w:hAnsi="宋体" w:eastAsia="宋体" w:cs="宋体"/>
                <w:color w:val="000000"/>
                <w:kern w:val="0"/>
                <w:sz w:val="22"/>
                <w:szCs w:val="22"/>
                <w:lang w:val="en-US" w:eastAsia="zh-CN" w:bidi="ar"/>
              </w:rPr>
              <w:t>的优势趋势开始显现。</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r>
              <w:rPr>
                <w:rFonts w:ascii="宋体" w:hAnsi="宋体" w:eastAsia="宋体" w:cs="宋体"/>
                <w:color w:val="000000"/>
                <w:kern w:val="0"/>
                <w:sz w:val="22"/>
                <w:szCs w:val="22"/>
                <w:lang w:val="en-US" w:eastAsia="zh-CN" w:bidi="ar"/>
              </w:rPr>
              <w:t>目前，美国对工程思维的研究及培养是较为完善的，2009 年美国国家科学院在《K-12 教育中的工程：理解现状和提升未来》中介绍了工程教育的定义及K-12 阶段工程教育的现状，并指出工程思维即“工程习惯”，具体包括：系统思维、创造力、乐观主义、合作、交流沟通和伦理考虑</w:t>
            </w:r>
            <w:r>
              <w:rPr>
                <w:rFonts w:hint="eastAsia" w:ascii="宋体" w:hAnsi="宋体" w:eastAsia="宋体" w:cs="宋体"/>
                <w:color w:val="000000"/>
                <w:kern w:val="0"/>
                <w:sz w:val="22"/>
                <w:szCs w:val="22"/>
                <w:lang w:val="en-US" w:eastAsia="zh-CN" w:bidi="ar"/>
              </w:rPr>
              <w:t>。</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本论文旨在详细阐述如何在小学科学课程中有效地培养学生的工程思维。通过构建一个清晰、系统的结构，本文旨在为读者提供一个明确、实用的指导方案，帮助教育者在小学科学教学中融入工程思维的培养。</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首先，本文强调了工程思维培养的重要性。在当今科技迅猛发展的时代，具备工程思维的人才在各个领域都备受青睐。工程思维不仅能够帮助学生更好地理解和应用科学知识，还能提升他们的创新思维和解决问题的能力。因此，将工程思维的培养融入小学科学课程具有深远的意义。</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接下来，本文详细分析了工程思维培养的具体方法。首先，教育者需要引导学生从实际问题出发，发现并提出问题。例如，可以通过组织学生进行实地考察、观察实验等方式，让他们亲身感受生活中的科学问题。其次，教育者需要帮助学生分析问题，提出解决方案。在这个过程中，教育者可以引导学生运用所学知识，进行推理、归纳和演绎等思维活动，从而培养他们的逻辑思维能力。最后，教育者需要鼓励学生进行实践操作，将解决方案付诸实践。这不仅可以帮助学生巩固所学知识，还能让他们在实践中体验成功的喜悦，增强他们的自信心。</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为了支持上述观点，本文还提供了丰富的实证研究和统计数据。例如，根据相关研究表明，通过工程思维培养的学生在科学成绩和创新能力方面均表现出显著的优势。此外，本文还引用了多个成功的工程思维培养案例，展示了工程思维培养在实际教学中的应用效果。</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p>
          <w:p>
            <w:pPr>
              <w:spacing w:line="440" w:lineRule="exact"/>
              <w:jc w:val="left"/>
              <w:rPr>
                <w:rFonts w:hint="eastAsia" w:ascii="宋体" w:hAnsi="宋体" w:eastAsia="宋体"/>
                <w:b/>
                <w:bCs/>
                <w:sz w:val="24"/>
                <w:szCs w:val="24"/>
                <w:lang w:eastAsia="zh-CN"/>
              </w:rPr>
            </w:pPr>
            <w:r>
              <w:rPr>
                <w:rFonts w:hint="eastAsia" w:ascii="宋体" w:hAnsi="宋体"/>
                <w:b/>
                <w:bCs/>
                <w:sz w:val="24"/>
                <w:szCs w:val="24"/>
                <w:lang w:eastAsia="zh-CN"/>
              </w:rPr>
              <w:t>【</w:t>
            </w:r>
            <w:r>
              <w:rPr>
                <w:rFonts w:hint="eastAsia" w:ascii="宋体" w:hAnsi="宋体"/>
                <w:b/>
                <w:bCs/>
                <w:sz w:val="24"/>
                <w:szCs w:val="24"/>
              </w:rPr>
              <w:t>具体方案如下</w:t>
            </w:r>
            <w:r>
              <w:rPr>
                <w:rFonts w:hint="eastAsia" w:ascii="宋体" w:hAnsi="宋体"/>
                <w:b/>
                <w:bCs/>
                <w:sz w:val="24"/>
                <w:szCs w:val="24"/>
                <w:lang w:eastAsia="zh-CN"/>
              </w:rPr>
              <w:t>】</w:t>
            </w:r>
          </w:p>
          <w:p>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p>
          <w:p>
            <w:pPr>
              <w:spacing w:line="440" w:lineRule="exact"/>
              <w:jc w:val="left"/>
              <w:rPr>
                <w:rFonts w:hint="default" w:eastAsia="宋体"/>
                <w:b/>
                <w:bCs/>
                <w:color w:val="FF0000"/>
                <w:sz w:val="24"/>
                <w:lang w:val="en-US" w:eastAsia="zh-CN"/>
              </w:rPr>
            </w:pPr>
            <w:r>
              <w:rPr>
                <w:rFonts w:hint="eastAsia"/>
                <w:b/>
                <w:bCs/>
                <w:color w:val="FF0000"/>
                <w:sz w:val="24"/>
                <w:lang w:val="en-US" w:eastAsia="zh-CN"/>
              </w:rPr>
              <w:t>部分教学环节中过程标注（提出问题——聚焦主题——系统设计——统筹资源——探究实践——反思诊断——探究实践/更新迭代）</w:t>
            </w:r>
          </w:p>
          <w:p>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《自制乐器》教学设计</w:t>
            </w: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w:t>
            </w:r>
            <w:r>
              <w:rPr>
                <w:rFonts w:hint="eastAsia" w:ascii="宋体" w:hAnsi="宋体"/>
                <w:b/>
                <w:color w:val="000000"/>
                <w:sz w:val="22"/>
                <w:szCs w:val="22"/>
                <w:lang w:val="en-US" w:eastAsia="zh-CN"/>
              </w:rPr>
              <w:t>内容分析</w:t>
            </w:r>
            <w:r>
              <w:rPr>
                <w:rFonts w:hint="eastAsia" w:ascii="宋体" w:hAnsi="宋体"/>
                <w:b/>
                <w:color w:val="000000"/>
                <w:sz w:val="22"/>
                <w:szCs w:val="22"/>
              </w:rPr>
              <w:t>】</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小乐器的制作”的内容是基于四年级上册第一单元第六节课的基础上进行设计与改进的。本单元的学习内容主要是了解声音的产生原理及如何让声音变强/弱/高/低。学生基于真实的乐器，找到乐器能够发出高低不同声音的原因，学习制作小乐器所需要的知识，基于获取和整合知识、拓展和精炼知识，培养自主学习能力和动手实践能力。</w:t>
            </w:r>
          </w:p>
          <w:p>
            <w:pPr>
              <w:keepNext w:val="0"/>
              <w:keepLines w:val="0"/>
              <w:widowControl/>
              <w:suppressLineNumbers w:val="0"/>
              <w:ind w:firstLine="440" w:firstLineChars="200"/>
              <w:jc w:val="left"/>
              <w:rPr>
                <w:rFonts w:hint="eastAsia" w:ascii="宋体" w:hAnsi="宋体" w:eastAsia="宋体" w:cs="宋体"/>
                <w:color w:val="000000"/>
                <w:kern w:val="0"/>
                <w:sz w:val="22"/>
                <w:szCs w:val="22"/>
                <w:lang w:val="en-US" w:eastAsia="zh-CN" w:bidi="ar"/>
              </w:rPr>
            </w:pP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【教学目标</w:t>
            </w:r>
            <w:r>
              <w:rPr>
                <w:rFonts w:hint="eastAsia" w:ascii="宋体" w:hAnsi="宋体"/>
                <w:b/>
                <w:color w:val="000000"/>
                <w:sz w:val="22"/>
                <w:szCs w:val="22"/>
                <w:lang w:val="en-US" w:eastAsia="zh-CN"/>
              </w:rPr>
              <w:t>分析</w:t>
            </w:r>
            <w:r>
              <w:rPr>
                <w:rFonts w:hint="eastAsia" w:ascii="宋体" w:hAnsi="宋体"/>
                <w:b/>
                <w:color w:val="000000"/>
                <w:sz w:val="22"/>
                <w:szCs w:val="22"/>
              </w:rPr>
              <w:t>】</w:t>
            </w:r>
          </w:p>
          <w:p>
            <w:pPr>
              <w:keepNext w:val="0"/>
              <w:keepLines w:val="0"/>
              <w:widowControl/>
              <w:suppressLineNumbers w:val="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 xml:space="preserve">一．通过自主学习、构思、讨论等多种学习方式，了解小乐器设计需要考虑的因素，学习小乐器的设计所需的专业知识，基于获取和整合知识，培养自主学习能力和动手实践能力。 </w:t>
            </w:r>
          </w:p>
          <w:p>
            <w:pPr>
              <w:keepNext w:val="0"/>
              <w:keepLines w:val="0"/>
              <w:widowControl/>
              <w:suppressLineNumbers w:val="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 xml:space="preserve">二．围绕核心任务，针对核心问题的解决，以“决策、设计、实施、展示”的工程设计流程，设计并制作能发出高低不同声音的小乐器，提高整体性分析问题、综合运用知识解决问题的能力。 </w:t>
            </w:r>
          </w:p>
          <w:p>
            <w:pPr>
              <w:keepNext w:val="0"/>
              <w:keepLines w:val="0"/>
              <w:widowControl/>
              <w:suppressLineNumbers w:val="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三．通过对小乐器的构思论证、设计制作、测试迭代、展示分享，在不断实践中形成合作、互助、共享的学习品质，提升学生的科学素养，加深对科学、技术、社会和环境之间关系的了解。</w:t>
            </w:r>
          </w:p>
          <w:p>
            <w:pPr>
              <w:keepNext w:val="0"/>
              <w:keepLines w:val="0"/>
              <w:widowControl/>
              <w:suppressLineNumbers w:val="0"/>
              <w:jc w:val="left"/>
              <w:rPr>
                <w:rFonts w:hint="eastAsia" w:ascii="宋体" w:hAnsi="宋体" w:eastAsia="宋体" w:cs="宋体"/>
                <w:color w:val="000000"/>
                <w:kern w:val="0"/>
                <w:sz w:val="22"/>
                <w:szCs w:val="22"/>
                <w:lang w:val="en-US" w:eastAsia="zh-CN" w:bidi="ar"/>
              </w:rPr>
            </w:pP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【教学重</w:t>
            </w:r>
            <w:r>
              <w:rPr>
                <w:rFonts w:hint="eastAsia" w:ascii="宋体" w:hAnsi="宋体"/>
                <w:b/>
                <w:color w:val="000000"/>
                <w:sz w:val="22"/>
                <w:szCs w:val="22"/>
                <w:lang w:val="en-US" w:eastAsia="zh-CN"/>
              </w:rPr>
              <w:t>难</w:t>
            </w:r>
            <w:r>
              <w:rPr>
                <w:rFonts w:hint="eastAsia" w:ascii="宋体" w:hAnsi="宋体"/>
                <w:b/>
                <w:color w:val="000000"/>
                <w:sz w:val="22"/>
                <w:szCs w:val="22"/>
              </w:rPr>
              <w:t>点】</w:t>
            </w:r>
          </w:p>
          <w:p>
            <w:pPr>
              <w:keepNext w:val="0"/>
              <w:keepLines w:val="0"/>
              <w:widowControl/>
              <w:suppressLineNumbers w:val="0"/>
              <w:jc w:val="left"/>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重、难点：设计并制作一个乐器</w:t>
            </w: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【教学准备】</w:t>
            </w:r>
          </w:p>
          <w:p>
            <w:pPr>
              <w:keepNext w:val="0"/>
              <w:keepLines w:val="0"/>
              <w:pageBreakBefore w:val="0"/>
              <w:widowControl/>
              <w:kinsoku/>
              <w:wordWrap/>
              <w:overflowPunct/>
              <w:topLinePunct w:val="0"/>
              <w:autoSpaceDE/>
              <w:autoSpaceDN/>
              <w:bidi w:val="0"/>
              <w:spacing w:line="240" w:lineRule="auto"/>
              <w:jc w:val="left"/>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教师材料：PPT</w:t>
            </w:r>
          </w:p>
          <w:p>
            <w:pPr>
              <w:rPr>
                <w:rFonts w:hint="default"/>
                <w:color w:val="000000" w:themeColor="text1"/>
                <w:sz w:val="22"/>
                <w:szCs w:val="22"/>
                <w:lang w:val="en-US"/>
                <w14:textFill>
                  <w14:solidFill>
                    <w14:schemeClr w14:val="tx1"/>
                  </w14:solidFill>
                </w14:textFill>
              </w:rPr>
            </w:pPr>
            <w:r>
              <w:rPr>
                <w:rFonts w:hint="eastAsia"/>
                <w:color w:val="000000" w:themeColor="text1"/>
                <w:sz w:val="22"/>
                <w:szCs w:val="22"/>
                <w14:textFill>
                  <w14:solidFill>
                    <w14:schemeClr w14:val="tx1"/>
                  </w14:solidFill>
                </w14:textFill>
              </w:rPr>
              <w:t>学生材料：</w:t>
            </w:r>
            <w:r>
              <w:rPr>
                <w:rFonts w:hint="eastAsia"/>
                <w:color w:val="000000" w:themeColor="text1"/>
                <w:sz w:val="22"/>
                <w:szCs w:val="22"/>
                <w:lang w:val="en-US" w:eastAsia="zh-CN"/>
                <w14:textFill>
                  <w14:solidFill>
                    <w14:schemeClr w14:val="tx1"/>
                  </w14:solidFill>
                </w14:textFill>
              </w:rPr>
              <w:t>根据设计选择材料 / 根据材料选择设计</w:t>
            </w: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【教学过程设计】</w:t>
            </w:r>
          </w:p>
          <w:p>
            <w:pPr>
              <w:keepNext w:val="0"/>
              <w:keepLines w:val="0"/>
              <w:widowControl/>
              <w:suppressLineNumbers w:val="0"/>
              <w:jc w:val="left"/>
              <w:rPr>
                <w:rFonts w:hint="eastAsia" w:asciiTheme="minorEastAsia" w:hAnsiTheme="minorEastAsia" w:eastAsiaTheme="minorEastAsia" w:cstheme="minorEastAsia"/>
                <w:b/>
                <w:bCs/>
                <w:color w:val="000000"/>
                <w:kern w:val="0"/>
                <w:sz w:val="22"/>
                <w:szCs w:val="22"/>
                <w:lang w:val="en-US" w:eastAsia="zh-CN" w:bidi="ar"/>
              </w:rPr>
            </w:pPr>
            <w:r>
              <w:rPr>
                <w:rFonts w:hint="eastAsia" w:asciiTheme="minorEastAsia" w:hAnsiTheme="minorEastAsia" w:eastAsiaTheme="minorEastAsia" w:cstheme="minorEastAsia"/>
                <w:b/>
                <w:bCs/>
                <w:color w:val="000000"/>
                <w:kern w:val="0"/>
                <w:sz w:val="22"/>
                <w:szCs w:val="22"/>
                <w:lang w:val="en-US" w:eastAsia="zh-CN" w:bidi="ar"/>
              </w:rPr>
              <w:t>一、工程决策阶段的教学</w:t>
            </w:r>
          </w:p>
          <w:p>
            <w:pPr>
              <w:keepNext w:val="0"/>
              <w:keepLines w:val="0"/>
              <w:widowControl/>
              <w:suppressLineNumbers w:val="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创设情境：观看一段乐队演 奏的视频，提问：说一说你在视频中看到了多少种乐器，它们分别是什么乐器？ </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 xml:space="preserve">2. 明确核心任务：扮演小小工程师，设计一个能发出高低不同声音的乐器。 </w:t>
            </w:r>
          </w:p>
          <w:p>
            <w:pPr>
              <w:keepNext w:val="0"/>
              <w:keepLines w:val="0"/>
              <w:widowControl/>
              <w:suppressLineNumbers w:val="0"/>
              <w:jc w:val="left"/>
              <w:rPr>
                <w:rFonts w:hint="default" w:asciiTheme="minorEastAsia" w:hAnsiTheme="minorEastAsia" w:eastAsiaTheme="minorEastAsia" w:cstheme="minorEastAsia"/>
                <w:color w:val="FF0000"/>
                <w:kern w:val="0"/>
                <w:sz w:val="22"/>
                <w:szCs w:val="22"/>
                <w:lang w:val="en-US" w:eastAsia="zh-CN" w:bidi="ar"/>
              </w:rPr>
            </w:pPr>
            <w:r>
              <w:rPr>
                <w:rFonts w:hint="eastAsia" w:asciiTheme="minorEastAsia" w:hAnsiTheme="minorEastAsia" w:eastAsiaTheme="minorEastAsia" w:cstheme="minorEastAsia"/>
                <w:color w:val="FF0000"/>
                <w:kern w:val="0"/>
                <w:sz w:val="22"/>
                <w:szCs w:val="22"/>
                <w:lang w:val="en-US" w:eastAsia="zh-CN" w:bidi="ar"/>
              </w:rPr>
              <w:t>（提出问题，聚焦主题）</w:t>
            </w:r>
          </w:p>
          <w:p>
            <w:pPr>
              <w:keepNext w:val="0"/>
              <w:keepLines w:val="0"/>
              <w:widowControl/>
              <w:suppressLineNumbers w:val="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明确限制条件：材料、大小、能发出高低不同的声音、美观。 </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4. 提供学习资源，引导学生在前期的学习中进行工程决策。</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b/>
                <w:bCs/>
                <w:color w:val="000000"/>
                <w:kern w:val="0"/>
                <w:sz w:val="22"/>
                <w:szCs w:val="22"/>
                <w:lang w:val="en-US" w:eastAsia="zh-CN" w:bidi="ar"/>
              </w:rPr>
              <w:t>[设计意图：</w:t>
            </w:r>
            <w:r>
              <w:rPr>
                <w:rFonts w:hint="eastAsia" w:asciiTheme="minorEastAsia" w:hAnsiTheme="minorEastAsia" w:eastAsiaTheme="minorEastAsia" w:cstheme="minorEastAsia"/>
                <w:color w:val="000000"/>
                <w:kern w:val="0"/>
                <w:sz w:val="22"/>
                <w:szCs w:val="22"/>
                <w:lang w:val="en-US" w:eastAsia="zh-CN" w:bidi="ar"/>
              </w:rPr>
              <w:t>乐器是学生们生活中常见的 事物，通过美妙的乐音引起学 生注意，并对设计制作小乐器产生兴趣。</w:t>
            </w:r>
            <w:r>
              <w:rPr>
                <w:rFonts w:hint="eastAsia" w:asciiTheme="minorEastAsia" w:hAnsiTheme="minorEastAsia" w:eastAsiaTheme="minorEastAsia" w:cstheme="minorEastAsia"/>
                <w:b/>
                <w:bCs/>
                <w:color w:val="000000"/>
                <w:kern w:val="0"/>
                <w:sz w:val="22"/>
                <w:szCs w:val="22"/>
                <w:lang w:val="en-US" w:eastAsia="zh-CN" w:bidi="ar"/>
              </w:rPr>
              <w:t>]</w:t>
            </w:r>
          </w:p>
          <w:p>
            <w:pPr>
              <w:keepNext w:val="0"/>
              <w:keepLines w:val="0"/>
              <w:widowControl/>
              <w:suppressLineNumbers w:val="0"/>
              <w:jc w:val="left"/>
              <w:rPr>
                <w:rFonts w:hint="eastAsia" w:asciiTheme="minorEastAsia" w:hAnsiTheme="minorEastAsia" w:eastAsiaTheme="minorEastAsia" w:cstheme="minorEastAsia"/>
                <w:b/>
                <w:bCs/>
                <w:color w:val="000000"/>
                <w:kern w:val="0"/>
                <w:sz w:val="22"/>
                <w:szCs w:val="22"/>
                <w:lang w:val="en-US" w:eastAsia="zh-CN" w:bidi="ar"/>
              </w:rPr>
            </w:pPr>
          </w:p>
          <w:p>
            <w:pPr>
              <w:keepNext w:val="0"/>
              <w:keepLines w:val="0"/>
              <w:widowControl/>
              <w:suppressLineNumbers w:val="0"/>
              <w:jc w:val="left"/>
              <w:rPr>
                <w:rFonts w:hint="eastAsia" w:asciiTheme="minorEastAsia" w:hAnsiTheme="minorEastAsia" w:eastAsiaTheme="minorEastAsia" w:cstheme="minorEastAsia"/>
                <w:b/>
                <w:bCs/>
                <w:color w:val="000000"/>
                <w:kern w:val="0"/>
                <w:sz w:val="22"/>
                <w:szCs w:val="22"/>
                <w:lang w:val="en-US" w:eastAsia="zh-CN" w:bidi="ar"/>
              </w:rPr>
            </w:pPr>
            <w:r>
              <w:rPr>
                <w:rFonts w:hint="eastAsia" w:asciiTheme="minorEastAsia" w:hAnsiTheme="minorEastAsia" w:eastAsiaTheme="minorEastAsia" w:cstheme="minorEastAsia"/>
                <w:b/>
                <w:bCs/>
                <w:color w:val="000000"/>
                <w:kern w:val="0"/>
                <w:sz w:val="22"/>
                <w:szCs w:val="22"/>
                <w:lang w:val="en-US" w:eastAsia="zh-CN" w:bidi="ar"/>
              </w:rPr>
              <w:t>二、工程设计阶段的教学</w:t>
            </w:r>
          </w:p>
          <w:p>
            <w:pPr>
              <w:keepNext w:val="0"/>
              <w:keepLines w:val="0"/>
              <w:widowControl/>
              <w:suppressLineNumbers w:val="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进行提问：这些乐器各不相同，但是它们都能发出高低不同的声音，它们是怎么做到的呢？ 引导学生们结合各乐器的特点进行思考，找出影响声音高低的关键因素。 </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2. 引导学生们进行组内和组间进行讨论，并绘制设计图。</w:t>
            </w:r>
          </w:p>
          <w:p>
            <w:pPr>
              <w:keepNext w:val="0"/>
              <w:keepLines w:val="0"/>
              <w:widowControl/>
              <w:suppressLineNumbers w:val="0"/>
              <w:jc w:val="left"/>
              <w:rPr>
                <w:rFonts w:hint="default" w:asciiTheme="minorEastAsia" w:hAnsiTheme="minorEastAsia" w:eastAsiaTheme="minorEastAsia" w:cstheme="minorEastAsia"/>
                <w:color w:val="FF0000"/>
                <w:kern w:val="0"/>
                <w:sz w:val="22"/>
                <w:szCs w:val="22"/>
                <w:lang w:val="en-US" w:eastAsia="zh-CN" w:bidi="ar"/>
              </w:rPr>
            </w:pPr>
            <w:r>
              <w:rPr>
                <w:rFonts w:hint="eastAsia" w:asciiTheme="minorEastAsia" w:hAnsiTheme="minorEastAsia" w:eastAsiaTheme="minorEastAsia" w:cstheme="minorEastAsia"/>
                <w:color w:val="FF0000"/>
                <w:kern w:val="0"/>
                <w:sz w:val="22"/>
                <w:szCs w:val="22"/>
                <w:lang w:val="en-US" w:eastAsia="zh-CN" w:bidi="ar"/>
              </w:rPr>
              <w:t>（系统设计，统筹资源）</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b/>
                <w:bCs/>
                <w:color w:val="000000"/>
                <w:kern w:val="0"/>
                <w:sz w:val="22"/>
                <w:szCs w:val="22"/>
                <w:lang w:val="en-US" w:eastAsia="zh-CN" w:bidi="ar"/>
              </w:rPr>
              <w:t>[设计意图：</w:t>
            </w:r>
            <w:r>
              <w:rPr>
                <w:rFonts w:hint="eastAsia" w:asciiTheme="minorEastAsia" w:hAnsiTheme="minorEastAsia" w:eastAsiaTheme="minorEastAsia" w:cstheme="minorEastAsia"/>
                <w:color w:val="000000"/>
                <w:kern w:val="0"/>
                <w:sz w:val="22"/>
                <w:szCs w:val="22"/>
                <w:lang w:val="en-US" w:eastAsia="zh-CN" w:bidi="ar"/>
              </w:rPr>
              <w:t>能通过实际的声音高低和理论的声音高低进行比较，从而对开发的模型进行改进。</w:t>
            </w:r>
            <w:r>
              <w:rPr>
                <w:rFonts w:hint="eastAsia" w:asciiTheme="minorEastAsia" w:hAnsiTheme="minorEastAsia" w:eastAsiaTheme="minorEastAsia" w:cstheme="minorEastAsia"/>
                <w:b/>
                <w:bCs/>
                <w:color w:val="000000"/>
                <w:kern w:val="0"/>
                <w:sz w:val="22"/>
                <w:szCs w:val="22"/>
                <w:lang w:val="en-US" w:eastAsia="zh-CN" w:bidi="ar"/>
              </w:rPr>
              <w:t>]</w:t>
            </w:r>
          </w:p>
          <w:p>
            <w:pPr>
              <w:keepNext w:val="0"/>
              <w:keepLines w:val="0"/>
              <w:widowControl/>
              <w:suppressLineNumbers w:val="0"/>
              <w:jc w:val="left"/>
              <w:rPr>
                <w:rFonts w:hint="eastAsia" w:asciiTheme="minorEastAsia" w:hAnsiTheme="minorEastAsia" w:eastAsiaTheme="minorEastAsia" w:cstheme="minorEastAsia"/>
                <w:b/>
                <w:bCs/>
                <w:color w:val="000000"/>
                <w:kern w:val="0"/>
                <w:sz w:val="22"/>
                <w:szCs w:val="22"/>
                <w:lang w:val="en-US" w:eastAsia="zh-CN" w:bidi="ar"/>
              </w:rPr>
            </w:pPr>
          </w:p>
          <w:p>
            <w:pPr>
              <w:keepNext w:val="0"/>
              <w:keepLines w:val="0"/>
              <w:widowControl/>
              <w:suppressLineNumbers w:val="0"/>
              <w:jc w:val="left"/>
              <w:rPr>
                <w:rFonts w:hint="eastAsia" w:asciiTheme="minorEastAsia" w:hAnsiTheme="minorEastAsia" w:eastAsiaTheme="minorEastAsia" w:cstheme="minorEastAsia"/>
                <w:b/>
                <w:bCs/>
                <w:color w:val="000000"/>
                <w:kern w:val="0"/>
                <w:sz w:val="22"/>
                <w:szCs w:val="22"/>
                <w:lang w:val="en-US" w:eastAsia="zh-CN" w:bidi="ar"/>
              </w:rPr>
            </w:pPr>
            <w:r>
              <w:rPr>
                <w:rFonts w:hint="eastAsia" w:asciiTheme="minorEastAsia" w:hAnsiTheme="minorEastAsia" w:eastAsiaTheme="minorEastAsia" w:cstheme="minorEastAsia"/>
                <w:b/>
                <w:bCs/>
                <w:color w:val="000000"/>
                <w:kern w:val="0"/>
                <w:sz w:val="22"/>
                <w:szCs w:val="22"/>
                <w:lang w:val="en-US" w:eastAsia="zh-CN" w:bidi="ar"/>
              </w:rPr>
              <w:t>三、工程展示阶段的教学</w:t>
            </w:r>
          </w:p>
          <w:p>
            <w:pPr>
              <w:keepNext w:val="0"/>
              <w:keepLines w:val="0"/>
              <w:widowControl/>
              <w:suppressLineNumbers w:val="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进行安全注意事项介绍之后，组织学生领取器材。 </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 xml:space="preserve">2. 当学生遇到问题时进行辅助指导，引导学生进行工程实施。 </w:t>
            </w:r>
          </w:p>
          <w:p>
            <w:pPr>
              <w:keepNext w:val="0"/>
              <w:keepLines w:val="0"/>
              <w:widowControl/>
              <w:suppressLineNumbers w:val="0"/>
              <w:jc w:val="left"/>
              <w:rPr>
                <w:rFonts w:hint="default" w:asciiTheme="minorEastAsia" w:hAnsiTheme="minorEastAsia" w:eastAsiaTheme="minorEastAsia" w:cstheme="minorEastAsia"/>
                <w:color w:val="FF0000"/>
                <w:kern w:val="0"/>
                <w:sz w:val="22"/>
                <w:szCs w:val="22"/>
                <w:lang w:val="en-US" w:eastAsia="zh-CN" w:bidi="ar"/>
              </w:rPr>
            </w:pPr>
            <w:r>
              <w:rPr>
                <w:rFonts w:hint="eastAsia" w:asciiTheme="minorEastAsia" w:hAnsiTheme="minorEastAsia" w:eastAsiaTheme="minorEastAsia" w:cstheme="minorEastAsia"/>
                <w:color w:val="FF0000"/>
                <w:kern w:val="0"/>
                <w:sz w:val="22"/>
                <w:szCs w:val="22"/>
                <w:lang w:val="en-US" w:eastAsia="zh-CN" w:bidi="ar"/>
              </w:rPr>
              <w:t>（探究实践，反思迭代）</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3. 提示学生们除了乐器的功能性之外，乐器的美观程度也需要注意。</w:t>
            </w:r>
          </w:p>
          <w:p>
            <w:pPr>
              <w:keepNext w:val="0"/>
              <w:keepLines w:val="0"/>
              <w:widowControl/>
              <w:suppressLineNumbers w:val="0"/>
              <w:jc w:val="left"/>
              <w:rPr>
                <w:rFonts w:hint="eastAsia" w:asciiTheme="minorEastAsia" w:hAnsiTheme="minorEastAsia" w:eastAsiaTheme="minorEastAsia" w:cstheme="minorEastAsia"/>
                <w:color w:val="000000"/>
                <w:kern w:val="0"/>
                <w:sz w:val="22"/>
                <w:szCs w:val="22"/>
                <w:lang w:val="en-US" w:eastAsia="zh-CN" w:bidi="ar"/>
              </w:rPr>
            </w:pPr>
            <w:r>
              <w:rPr>
                <w:rFonts w:hint="eastAsia" w:asciiTheme="minorEastAsia" w:hAnsiTheme="minorEastAsia" w:eastAsiaTheme="minorEastAsia" w:cstheme="minorEastAsia"/>
                <w:b/>
                <w:bCs/>
                <w:color w:val="000000"/>
                <w:kern w:val="0"/>
                <w:sz w:val="22"/>
                <w:szCs w:val="22"/>
                <w:lang w:val="en-US" w:eastAsia="zh-CN" w:bidi="ar"/>
              </w:rPr>
              <w:t>[设计意图：</w:t>
            </w:r>
            <w:r>
              <w:rPr>
                <w:rFonts w:hint="eastAsia" w:asciiTheme="minorEastAsia" w:hAnsiTheme="minorEastAsia" w:eastAsiaTheme="minorEastAsia" w:cstheme="minorEastAsia"/>
                <w:color w:val="000000"/>
                <w:kern w:val="0"/>
                <w:sz w:val="22"/>
                <w:szCs w:val="22"/>
                <w:lang w:val="en-US" w:eastAsia="zh-CN" w:bidi="ar"/>
              </w:rPr>
              <w:t>通过展示活动让各组之间能相互借鉴，在交流总结中取得进步。</w:t>
            </w:r>
            <w:r>
              <w:rPr>
                <w:rFonts w:hint="eastAsia" w:asciiTheme="minorEastAsia" w:hAnsiTheme="minorEastAsia" w:eastAsiaTheme="minorEastAsia" w:cstheme="minorEastAsia"/>
                <w:b/>
                <w:bCs/>
                <w:color w:val="000000"/>
                <w:kern w:val="0"/>
                <w:sz w:val="22"/>
                <w:szCs w:val="22"/>
                <w:lang w:val="en-US" w:eastAsia="zh-CN" w:bidi="ar"/>
              </w:rPr>
              <w:t>]</w:t>
            </w:r>
          </w:p>
          <w:p>
            <w:pPr>
              <w:keepNext w:val="0"/>
              <w:keepLines w:val="0"/>
              <w:widowControl/>
              <w:suppressLineNumbers w:val="0"/>
              <w:jc w:val="left"/>
              <w:rPr>
                <w:rFonts w:hint="eastAsia" w:asciiTheme="minorEastAsia" w:hAnsiTheme="minorEastAsia" w:eastAsiaTheme="minorEastAsia" w:cstheme="minorEastAsia"/>
                <w:b/>
                <w:bCs/>
                <w:color w:val="000000"/>
                <w:kern w:val="0"/>
                <w:sz w:val="22"/>
                <w:szCs w:val="22"/>
                <w:lang w:val="en-US" w:eastAsia="zh-CN" w:bidi="ar"/>
              </w:rPr>
            </w:pPr>
          </w:p>
          <w:p>
            <w:pPr>
              <w:keepNext w:val="0"/>
              <w:keepLines w:val="0"/>
              <w:widowControl/>
              <w:suppressLineNumbers w:val="0"/>
              <w:jc w:val="left"/>
              <w:rPr>
                <w:rFonts w:hint="eastAsia" w:asciiTheme="minorEastAsia" w:hAnsiTheme="minorEastAsia" w:eastAsiaTheme="minorEastAsia" w:cstheme="minorEastAsia"/>
                <w:b/>
                <w:bCs/>
                <w:color w:val="000000"/>
                <w:kern w:val="0"/>
                <w:sz w:val="22"/>
                <w:szCs w:val="22"/>
                <w:lang w:val="en-US" w:eastAsia="zh-CN" w:bidi="ar"/>
              </w:rPr>
            </w:pPr>
            <w:r>
              <w:rPr>
                <w:rFonts w:hint="eastAsia" w:asciiTheme="minorEastAsia" w:hAnsiTheme="minorEastAsia" w:eastAsiaTheme="minorEastAsia" w:cstheme="minorEastAsia"/>
                <w:b/>
                <w:bCs/>
                <w:color w:val="000000"/>
                <w:kern w:val="0"/>
                <w:sz w:val="22"/>
                <w:szCs w:val="22"/>
                <w:lang w:val="en-US" w:eastAsia="zh-CN" w:bidi="ar"/>
              </w:rPr>
              <w:t>四、作品照片</w:t>
            </w:r>
          </w:p>
          <w:p>
            <w:pPr>
              <w:widowControl w:val="0"/>
              <w:numPr>
                <w:ilvl w:val="0"/>
                <w:numId w:val="0"/>
              </w:numPr>
              <w:jc w:val="both"/>
              <w:rPr>
                <w:rFonts w:hint="eastAsia" w:asciiTheme="minorEastAsia" w:hAnsiTheme="minorEastAsia" w:eastAsiaTheme="minorEastAsia" w:cstheme="minorEastAsia"/>
                <w:sz w:val="22"/>
                <w:szCs w:val="22"/>
                <w:lang w:val="en-US" w:eastAsia="zh-CN"/>
              </w:rPr>
            </w:pPr>
          </w:p>
          <w:p>
            <w:pPr>
              <w:widowControl w:val="0"/>
              <w:numPr>
                <w:ilvl w:val="0"/>
                <w:numId w:val="0"/>
              </w:numPr>
              <w:jc w:val="both"/>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drawing>
                <wp:inline distT="0" distB="0" distL="114300" distR="114300">
                  <wp:extent cx="2556510" cy="1917700"/>
                  <wp:effectExtent l="0" t="0" r="8890" b="12700"/>
                  <wp:docPr id="7" name="图片 7" descr="IMG_9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9850"/>
                          <pic:cNvPicPr>
                            <a:picLocks noChangeAspect="1"/>
                          </pic:cNvPicPr>
                        </pic:nvPicPr>
                        <pic:blipFill>
                          <a:blip r:embed="rId13"/>
                          <a:stretch>
                            <a:fillRect/>
                          </a:stretch>
                        </pic:blipFill>
                        <pic:spPr>
                          <a:xfrm>
                            <a:off x="0" y="0"/>
                            <a:ext cx="2556510" cy="1917700"/>
                          </a:xfrm>
                          <a:prstGeom prst="rect">
                            <a:avLst/>
                          </a:prstGeom>
                        </pic:spPr>
                      </pic:pic>
                    </a:graphicData>
                  </a:graphic>
                </wp:inline>
              </w:drawing>
            </w:r>
            <w:r>
              <w:rPr>
                <w:rFonts w:hint="eastAsia" w:asciiTheme="minorEastAsia" w:hAnsiTheme="minorEastAsia" w:eastAsiaTheme="minorEastAsia" w:cstheme="minorEastAsia"/>
                <w:sz w:val="22"/>
                <w:szCs w:val="22"/>
                <w:lang w:val="en-US" w:eastAsia="zh-CN"/>
              </w:rPr>
              <w:drawing>
                <wp:inline distT="0" distB="0" distL="114300" distR="114300">
                  <wp:extent cx="2568575" cy="1926590"/>
                  <wp:effectExtent l="0" t="0" r="22225" b="3810"/>
                  <wp:docPr id="5" name="图片 5" descr="IMG_9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9849"/>
                          <pic:cNvPicPr>
                            <a:picLocks noChangeAspect="1"/>
                          </pic:cNvPicPr>
                        </pic:nvPicPr>
                        <pic:blipFill>
                          <a:blip r:embed="rId14"/>
                          <a:stretch>
                            <a:fillRect/>
                          </a:stretch>
                        </pic:blipFill>
                        <pic:spPr>
                          <a:xfrm>
                            <a:off x="0" y="0"/>
                            <a:ext cx="2568575" cy="1926590"/>
                          </a:xfrm>
                          <a:prstGeom prst="rect">
                            <a:avLst/>
                          </a:prstGeom>
                        </pic:spPr>
                      </pic:pic>
                    </a:graphicData>
                  </a:graphic>
                </wp:inline>
              </w:drawing>
            </w:r>
            <w:r>
              <w:rPr>
                <w:rFonts w:hint="eastAsia" w:asciiTheme="minorEastAsia" w:hAnsiTheme="minorEastAsia" w:eastAsiaTheme="minorEastAsia" w:cstheme="minorEastAsia"/>
                <w:sz w:val="22"/>
                <w:szCs w:val="22"/>
                <w:lang w:val="en-US" w:eastAsia="zh-CN"/>
              </w:rPr>
              <w:drawing>
                <wp:inline distT="0" distB="0" distL="114300" distR="114300">
                  <wp:extent cx="2560955" cy="1920875"/>
                  <wp:effectExtent l="0" t="0" r="4445" b="9525"/>
                  <wp:docPr id="4" name="图片 4" descr="IMG_9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9825"/>
                          <pic:cNvPicPr>
                            <a:picLocks noChangeAspect="1"/>
                          </pic:cNvPicPr>
                        </pic:nvPicPr>
                        <pic:blipFill>
                          <a:blip r:embed="rId15"/>
                          <a:stretch>
                            <a:fillRect/>
                          </a:stretch>
                        </pic:blipFill>
                        <pic:spPr>
                          <a:xfrm>
                            <a:off x="0" y="0"/>
                            <a:ext cx="2560955" cy="1920875"/>
                          </a:xfrm>
                          <a:prstGeom prst="rect">
                            <a:avLst/>
                          </a:prstGeom>
                        </pic:spPr>
                      </pic:pic>
                    </a:graphicData>
                  </a:graphic>
                </wp:inline>
              </w:drawing>
            </w:r>
            <w:r>
              <w:rPr>
                <w:rFonts w:hint="eastAsia" w:asciiTheme="minorEastAsia" w:hAnsiTheme="minorEastAsia" w:eastAsiaTheme="minorEastAsia" w:cstheme="minorEastAsia"/>
                <w:sz w:val="22"/>
                <w:szCs w:val="22"/>
                <w:lang w:val="en-US" w:eastAsia="zh-CN"/>
              </w:rPr>
              <w:drawing>
                <wp:inline distT="0" distB="0" distL="114300" distR="114300">
                  <wp:extent cx="2564765" cy="1923415"/>
                  <wp:effectExtent l="0" t="0" r="635" b="6985"/>
                  <wp:docPr id="2" name="图片 2" descr="IMG_9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9822"/>
                          <pic:cNvPicPr>
                            <a:picLocks noChangeAspect="1"/>
                          </pic:cNvPicPr>
                        </pic:nvPicPr>
                        <pic:blipFill>
                          <a:blip r:embed="rId16"/>
                          <a:stretch>
                            <a:fillRect/>
                          </a:stretch>
                        </pic:blipFill>
                        <pic:spPr>
                          <a:xfrm>
                            <a:off x="0" y="0"/>
                            <a:ext cx="2564765" cy="1923415"/>
                          </a:xfrm>
                          <a:prstGeom prst="rect">
                            <a:avLst/>
                          </a:prstGeom>
                        </pic:spPr>
                      </pic:pic>
                    </a:graphicData>
                  </a:graphic>
                </wp:inline>
              </w:drawing>
            </w:r>
          </w:p>
          <w:p>
            <w:pPr>
              <w:widowControl w:val="0"/>
              <w:numPr>
                <w:ilvl w:val="0"/>
                <w:numId w:val="0"/>
              </w:numPr>
              <w:jc w:val="both"/>
              <w:rPr>
                <w:rFonts w:hint="eastAsia" w:asciiTheme="minorEastAsia" w:hAnsiTheme="minorEastAsia" w:eastAsiaTheme="minorEastAsia" w:cstheme="minorEastAsia"/>
                <w:sz w:val="22"/>
                <w:szCs w:val="22"/>
                <w:lang w:val="en-US" w:eastAsia="zh-CN"/>
              </w:rPr>
            </w:pPr>
          </w:p>
          <w:p>
            <w:pPr>
              <w:keepNext w:val="0"/>
              <w:keepLines w:val="0"/>
              <w:pageBreakBefore w:val="0"/>
              <w:numPr>
                <w:ilvl w:val="0"/>
                <w:numId w:val="0"/>
              </w:numPr>
              <w:kinsoku/>
              <w:wordWrap/>
              <w:overflowPunct/>
              <w:topLinePunct w:val="0"/>
              <w:autoSpaceDE/>
              <w:autoSpaceDN/>
              <w:bidi w:val="0"/>
              <w:spacing w:line="240" w:lineRule="auto"/>
              <w:jc w:val="both"/>
              <w:rPr>
                <w:rFonts w:hint="eastAsia"/>
                <w:color w:val="1D41D5"/>
                <w:sz w:val="22"/>
                <w:szCs w:val="22"/>
                <w:lang w:val="en-US" w:eastAsia="zh-CN"/>
              </w:rPr>
            </w:pPr>
            <w:r>
              <w:rPr>
                <w:rFonts w:hint="eastAsia" w:ascii="仿宋" w:hAnsi="仿宋" w:eastAsia="仿宋"/>
                <w:color w:val="1D41D5"/>
                <w:sz w:val="22"/>
                <w:szCs w:val="22"/>
                <w:lang w:val="en-US" w:eastAsia="zh-CN"/>
              </w:rPr>
              <w:t xml:space="preserve">                                        </w:t>
            </w:r>
          </w:p>
          <w:p>
            <w:pPr>
              <w:spacing w:line="440" w:lineRule="exact"/>
              <w:rPr>
                <w:rFonts w:hint="eastAsia" w:ascii="宋体" w:hAnsi="宋体" w:eastAsia="宋体"/>
                <w:b/>
                <w:sz w:val="24"/>
                <w:lang w:eastAsia="zh-CN"/>
              </w:rPr>
            </w:pPr>
            <w:r>
              <w:rPr>
                <w:rFonts w:hint="eastAsia" w:ascii="宋体" w:hAnsi="宋体"/>
                <w:b/>
                <w:sz w:val="24"/>
                <w:lang w:val="en-US" w:eastAsia="zh-CN"/>
              </w:rPr>
              <w:t>【实践思考</w:t>
            </w:r>
            <w:r>
              <w:rPr>
                <w:rFonts w:hint="eastAsia" w:ascii="宋体" w:hAnsi="宋体"/>
                <w:b/>
                <w:sz w:val="24"/>
                <w:lang w:eastAsia="zh-CN"/>
              </w:rPr>
              <w:t>】</w:t>
            </w:r>
          </w:p>
          <w:p>
            <w:pPr>
              <w:widowControl w:val="0"/>
              <w:numPr>
                <w:ilvl w:val="0"/>
                <w:numId w:val="0"/>
              </w:numPr>
              <w:jc w:val="both"/>
              <w:rPr>
                <w:rFonts w:hint="eastAsia" w:ascii="宋体" w:hAnsi="宋体" w:cs="宋体"/>
                <w:sz w:val="22"/>
                <w:szCs w:val="22"/>
                <w:lang w:val="en-US" w:eastAsia="zh-CN"/>
              </w:rPr>
            </w:pPr>
            <w:r>
              <w:drawing>
                <wp:inline distT="0" distB="0" distL="114300" distR="114300">
                  <wp:extent cx="5107940" cy="2073910"/>
                  <wp:effectExtent l="0" t="0" r="22860" b="889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2"/>
                          <a:srcRect b="11325"/>
                          <a:stretch>
                            <a:fillRect/>
                          </a:stretch>
                        </pic:blipFill>
                        <pic:spPr>
                          <a:xfrm>
                            <a:off x="0" y="0"/>
                            <a:ext cx="5107940" cy="2073910"/>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本次教学设计基本遵循了《小学科学培养工程思维的教学模型》这一论文的指导原则，旨在将工程思维的培养融入小学科学教育中。工程思维，作为一种综合性、创新性的思维方式，对于培养学生的问题解决能力、实践能力和创新思维具有重要意义。</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具体的教学实施中，我们采用了多样化的教学方法和手段，让学生深入了解工程思维在实际问题中的应用；通过小组讨论，培养学生的团队协作和沟通能力；通过项目式学习，让学生在完成具体任务的过程中，锻炼他们的工程思维。这些教学方法和手段的运用，不仅激发了学生的学习兴趣，也提高了他们的学习效果。</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为了更好地评估学生的学习效果，下阶段我将继续学习论文中提及的方法，尝试模拟设计一套科学、全面的评价体系。该评价体系不仅关注学生的知识掌握情况，还注重评估学生的工程思维能力、实践能力和创新精神。通过这一评价体系，我们可以及时了解学生的学习进展和存在的问题，从而调整教学策略，帮助学生更好地掌握工程思维。</w:t>
            </w:r>
          </w:p>
          <w:p>
            <w:pPr>
              <w:widowControl w:val="0"/>
              <w:numPr>
                <w:ilvl w:val="0"/>
                <w:numId w:val="0"/>
              </w:numPr>
              <w:ind w:firstLine="440" w:firstLineChars="200"/>
              <w:jc w:val="both"/>
              <w:rPr>
                <w:rFonts w:hint="eastAsia" w:ascii="宋体" w:hAnsi="宋体" w:cs="宋体"/>
                <w:sz w:val="22"/>
                <w:szCs w:val="22"/>
                <w:lang w:val="en-US" w:eastAsia="zh-CN"/>
              </w:rPr>
            </w:pPr>
          </w:p>
          <w:p>
            <w:pPr>
              <w:widowControl w:val="0"/>
              <w:numPr>
                <w:ilvl w:val="0"/>
                <w:numId w:val="0"/>
              </w:numPr>
              <w:ind w:firstLine="440" w:firstLineChars="200"/>
              <w:jc w:val="both"/>
              <w:rPr>
                <w:rFonts w:hint="eastAsia" w:ascii="宋体" w:hAnsi="宋体" w:cs="宋体"/>
                <w:sz w:val="22"/>
                <w:szCs w:val="22"/>
                <w:lang w:val="en-US" w:eastAsia="zh-CN"/>
              </w:rPr>
            </w:pPr>
          </w:p>
          <w:p>
            <w:pPr>
              <w:widowControl w:val="0"/>
              <w:numPr>
                <w:ilvl w:val="0"/>
                <w:numId w:val="0"/>
              </w:numPr>
              <w:ind w:firstLine="440" w:firstLineChars="200"/>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p>
          <w:p>
            <w:pPr>
              <w:widowControl w:val="0"/>
              <w:numPr>
                <w:ilvl w:val="0"/>
                <w:numId w:val="0"/>
              </w:numPr>
              <w:jc w:val="both"/>
              <w:rPr>
                <w:rFonts w:hint="eastAsia" w:ascii="宋体" w:hAnsi="宋体" w:cs="宋体"/>
                <w:sz w:val="22"/>
                <w:szCs w:val="22"/>
                <w:lang w:val="en-US" w:eastAsia="zh-CN"/>
              </w:rPr>
            </w:pPr>
            <w:bookmarkStart w:id="0" w:name="_GoBack"/>
            <w:bookmarkEnd w:id="0"/>
          </w:p>
          <w:p>
            <w:pPr>
              <w:widowControl w:val="0"/>
              <w:numPr>
                <w:ilvl w:val="0"/>
                <w:numId w:val="0"/>
              </w:numPr>
              <w:ind w:firstLine="440" w:firstLineChars="200"/>
              <w:jc w:val="both"/>
              <w:rPr>
                <w:rFonts w:hint="eastAsia" w:ascii="宋体" w:hAnsi="宋体" w:cs="宋体"/>
                <w:sz w:val="22"/>
                <w:szCs w:val="22"/>
                <w:lang w:val="en-US" w:eastAsia="zh-CN"/>
              </w:rPr>
            </w:pPr>
          </w:p>
          <w:p>
            <w:pPr>
              <w:widowControl w:val="0"/>
              <w:numPr>
                <w:ilvl w:val="0"/>
                <w:numId w:val="0"/>
              </w:numPr>
              <w:ind w:firstLine="440" w:firstLineChars="200"/>
              <w:jc w:val="both"/>
              <w:rPr>
                <w:rFonts w:hint="eastAsia" w:ascii="宋体" w:hAnsi="宋体" w:cs="宋体"/>
                <w:sz w:val="22"/>
                <w:szCs w:val="22"/>
                <w:lang w:val="en-US" w:eastAsia="zh-CN"/>
              </w:rPr>
            </w:pPr>
          </w:p>
          <w:p>
            <w:pPr>
              <w:spacing w:line="420" w:lineRule="exact"/>
              <w:rPr>
                <w:rFonts w:ascii="宋体" w:hAnsi="宋体"/>
                <w:sz w:val="24"/>
              </w:rPr>
            </w:pPr>
          </w:p>
        </w:tc>
      </w:tr>
    </w:tbl>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PMingLiU">
    <w:altName w:val="宋体-繁"/>
    <w:panose1 w:val="02020500000000000000"/>
    <w:charset w:val="88"/>
    <w:family w:val="roman"/>
    <w:pitch w:val="default"/>
    <w:sig w:usb0="00000000" w:usb1="00000000" w:usb2="00000016" w:usb3="00000000" w:csb0="00100001" w:csb1="00000000"/>
  </w:font>
  <w:font w:name="仿宋">
    <w:altName w:val="方正仿宋_GBK"/>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方正仿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宋体-繁">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DEzMmQwZDhhOGI4NWQ0MGIyZjUyOGRjMmI0ODM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0D972921"/>
    <w:rsid w:val="0FE31505"/>
    <w:rsid w:val="15BE44B8"/>
    <w:rsid w:val="17334565"/>
    <w:rsid w:val="19377B96"/>
    <w:rsid w:val="2BFFBA4D"/>
    <w:rsid w:val="30501DCE"/>
    <w:rsid w:val="337A6C9E"/>
    <w:rsid w:val="3CBE288D"/>
    <w:rsid w:val="49A86199"/>
    <w:rsid w:val="56CA2933"/>
    <w:rsid w:val="5DAB7C5F"/>
    <w:rsid w:val="6B6B1005"/>
    <w:rsid w:val="7DEA0D07"/>
    <w:rsid w:val="E8AAEAE7"/>
    <w:rsid w:val="FBFBE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qFormat/>
    <w:uiPriority w:val="0"/>
    <w:pPr>
      <w:snapToGrid w:val="0"/>
      <w:spacing w:line="360" w:lineRule="auto"/>
      <w:jc w:val="left"/>
    </w:pPr>
    <w:rPr>
      <w:rFonts w:eastAsia="PMingLiU"/>
      <w:sz w:val="28"/>
      <w:lang w:eastAsia="zh-TW"/>
    </w:rPr>
  </w:style>
  <w:style w:type="paragraph" w:styleId="3">
    <w:name w:val="Body Text Indent"/>
    <w:basedOn w:val="1"/>
    <w:link w:val="16"/>
    <w:semiHidden/>
    <w:unhideWhenUsed/>
    <w:qFormat/>
    <w:uiPriority w:val="99"/>
    <w:pPr>
      <w:spacing w:after="120"/>
      <w:ind w:left="420" w:leftChars="200"/>
    </w:pPr>
  </w:style>
  <w:style w:type="paragraph" w:styleId="4">
    <w:name w:val="Plain Text"/>
    <w:basedOn w:val="1"/>
    <w:link w:val="19"/>
    <w:qFormat/>
    <w:uiPriority w:val="0"/>
    <w:rPr>
      <w:rFonts w:ascii="宋体" w:hAnsi="Courier New" w:cs="Courier New"/>
      <w:szCs w:val="21"/>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qFormat/>
    <w:uiPriority w:val="0"/>
    <w:rPr>
      <w:color w:val="0000FF"/>
      <w:u w:val="single"/>
    </w:rPr>
  </w:style>
  <w:style w:type="character" w:customStyle="1" w:styleId="12">
    <w:name w:val="页眉 Char"/>
    <w:basedOn w:val="10"/>
    <w:link w:val="6"/>
    <w:semiHidden/>
    <w:qFormat/>
    <w:uiPriority w:val="99"/>
    <w:rPr>
      <w:sz w:val="18"/>
      <w:szCs w:val="18"/>
    </w:rPr>
  </w:style>
  <w:style w:type="character" w:customStyle="1" w:styleId="13">
    <w:name w:val="页脚 Char"/>
    <w:basedOn w:val="10"/>
    <w:link w:val="5"/>
    <w:qFormat/>
    <w:uiPriority w:val="99"/>
    <w:rPr>
      <w:sz w:val="18"/>
      <w:szCs w:val="18"/>
    </w:rPr>
  </w:style>
  <w:style w:type="character" w:customStyle="1" w:styleId="14">
    <w:name w:val="HTML 预设格式 Char"/>
    <w:basedOn w:val="10"/>
    <w:link w:val="7"/>
    <w:qFormat/>
    <w:uiPriority w:val="0"/>
    <w:rPr>
      <w:rFonts w:ascii="宋体" w:hAnsi="宋体" w:eastAsia="宋体" w:cs="宋体"/>
      <w:kern w:val="0"/>
      <w:sz w:val="24"/>
      <w:szCs w:val="24"/>
    </w:rPr>
  </w:style>
  <w:style w:type="character" w:customStyle="1" w:styleId="15">
    <w:name w:val="正文文本 Char"/>
    <w:basedOn w:val="10"/>
    <w:link w:val="2"/>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semiHidden/>
    <w:qFormat/>
    <w:uiPriority w:val="99"/>
    <w:rPr>
      <w:rFonts w:ascii="Times New Roman" w:hAnsi="Times New Roman" w:eastAsia="宋体" w:cs="Times New Roman"/>
      <w:szCs w:val="24"/>
    </w:rPr>
  </w:style>
  <w:style w:type="paragraph" w:styleId="17">
    <w:name w:val="List Paragraph"/>
    <w:basedOn w:val="1"/>
    <w:qFormat/>
    <w:uiPriority w:val="34"/>
    <w:pPr>
      <w:ind w:firstLine="420" w:firstLineChars="200"/>
    </w:pPr>
    <w:rPr>
      <w:rFonts w:ascii="Calibri" w:hAnsi="Calibri"/>
      <w:szCs w:val="22"/>
    </w:rPr>
  </w:style>
  <w:style w:type="character" w:customStyle="1" w:styleId="18">
    <w:name w:val="bjh-p"/>
    <w:basedOn w:val="10"/>
    <w:qFormat/>
    <w:uiPriority w:val="0"/>
  </w:style>
  <w:style w:type="character" w:customStyle="1" w:styleId="19">
    <w:name w:val="纯文本 Char"/>
    <w:basedOn w:val="10"/>
    <w:link w:val="4"/>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Pages>
  <Words>12760</Words>
  <Characters>72732</Characters>
  <Lines>606</Lines>
  <Paragraphs>170</Paragraphs>
  <TotalTime>15</TotalTime>
  <ScaleCrop>false</ScaleCrop>
  <LinksUpToDate>false</LinksUpToDate>
  <CharactersWithSpaces>85322</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2019-04-15T08:47:00Z</dcterms:created>
  <dc:creator>微软用户</dc:creator>
  <cp:lastModifiedBy>连成一线</cp:lastModifiedBy>
  <dcterms:modified xsi:type="dcterms:W3CDTF">2024-04-09T10:27:20Z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474D76F129EFEAAAAA9814660E045540_43</vt:lpwstr>
  </property>
</Properties>
</file>