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3F8DA5">
      <w:pPr>
        <w:spacing w:line="360" w:lineRule="auto"/>
        <w:jc w:val="center"/>
        <w:rPr>
          <w:rFonts w:hint="eastAsia" w:ascii="黑体" w:hAnsi="黑体" w:eastAsia="黑体"/>
          <w:b/>
          <w:sz w:val="36"/>
          <w:szCs w:val="36"/>
        </w:rPr>
      </w:pPr>
      <w:r>
        <w:rPr>
          <w:rFonts w:hint="eastAsia" w:ascii="黑体" w:hAnsi="黑体" w:eastAsia="黑体"/>
          <w:b/>
          <w:sz w:val="36"/>
          <w:szCs w:val="36"/>
        </w:rPr>
        <w:t>江苏省江阴中等专业学校</w:t>
      </w:r>
    </w:p>
    <w:p w14:paraId="5852B591">
      <w:pPr>
        <w:spacing w:line="360" w:lineRule="auto"/>
        <w:jc w:val="center"/>
        <w:rPr>
          <w:rFonts w:hint="eastAsia" w:ascii="黑体" w:eastAsia="黑体"/>
          <w:sz w:val="24"/>
        </w:rPr>
      </w:pPr>
      <w:r>
        <w:rPr>
          <w:rFonts w:hint="eastAsia" w:ascii="黑体" w:eastAsia="黑体"/>
          <w:b/>
          <w:bCs/>
          <w:sz w:val="32"/>
        </w:rPr>
        <w:t>教  案</w:t>
      </w:r>
    </w:p>
    <w:tbl>
      <w:tblPr>
        <w:tblStyle w:val="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0"/>
        <w:gridCol w:w="1470"/>
        <w:gridCol w:w="1275"/>
        <w:gridCol w:w="1980"/>
        <w:gridCol w:w="1275"/>
        <w:gridCol w:w="1391"/>
      </w:tblGrid>
      <w:tr w14:paraId="040A7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noWrap w:val="0"/>
            <w:vAlign w:val="top"/>
          </w:tcPr>
          <w:p w14:paraId="15366763">
            <w:pPr>
              <w:spacing w:line="360" w:lineRule="auto"/>
              <w:jc w:val="center"/>
              <w:rPr>
                <w:rFonts w:hint="eastAsia" w:eastAsia="仿宋_GB2312"/>
                <w:sz w:val="24"/>
              </w:rPr>
            </w:pPr>
            <w:r>
              <w:rPr>
                <w:rFonts w:hint="eastAsia" w:eastAsia="仿宋_GB2312"/>
                <w:sz w:val="24"/>
              </w:rPr>
              <w:t>教师姓名</w:t>
            </w:r>
          </w:p>
        </w:tc>
        <w:tc>
          <w:tcPr>
            <w:tcW w:w="1470" w:type="dxa"/>
            <w:noWrap w:val="0"/>
            <w:vAlign w:val="top"/>
          </w:tcPr>
          <w:p w14:paraId="27413F6F">
            <w:pPr>
              <w:spacing w:line="360" w:lineRule="auto"/>
              <w:jc w:val="center"/>
              <w:rPr>
                <w:rFonts w:hint="eastAsia" w:eastAsia="仿宋_GB2312"/>
                <w:sz w:val="24"/>
              </w:rPr>
            </w:pPr>
            <w:r>
              <w:rPr>
                <w:rFonts w:hint="eastAsia" w:ascii="Times New Roman" w:hAnsi="Times New Roman" w:eastAsia="仿宋_GB2312" w:cs="Times New Roman"/>
                <w:sz w:val="24"/>
                <w:lang w:val="en-US" w:eastAsia="zh-CN"/>
              </w:rPr>
              <w:t>吴喜喜</w:t>
            </w:r>
          </w:p>
        </w:tc>
        <w:tc>
          <w:tcPr>
            <w:tcW w:w="1275" w:type="dxa"/>
            <w:noWrap w:val="0"/>
            <w:vAlign w:val="top"/>
          </w:tcPr>
          <w:p w14:paraId="544BC13B">
            <w:pPr>
              <w:spacing w:line="360" w:lineRule="auto"/>
              <w:jc w:val="center"/>
              <w:rPr>
                <w:rFonts w:hint="eastAsia" w:eastAsia="仿宋_GB2312"/>
                <w:sz w:val="24"/>
              </w:rPr>
            </w:pPr>
            <w:r>
              <w:rPr>
                <w:rFonts w:hint="eastAsia" w:ascii="Times New Roman" w:hAnsi="Times New Roman" w:eastAsia="仿宋_GB2312" w:cs="Times New Roman"/>
                <w:sz w:val="24"/>
                <w:lang w:val="en-US" w:eastAsia="zh-CN"/>
              </w:rPr>
              <w:t>授课班级</w:t>
            </w:r>
          </w:p>
        </w:tc>
        <w:tc>
          <w:tcPr>
            <w:tcW w:w="1980" w:type="dxa"/>
            <w:noWrap w:val="0"/>
            <w:vAlign w:val="top"/>
          </w:tcPr>
          <w:p w14:paraId="591167C3">
            <w:pPr>
              <w:spacing w:line="360" w:lineRule="auto"/>
              <w:jc w:val="center"/>
              <w:rPr>
                <w:rFonts w:hint="default" w:eastAsia="仿宋_GB2312"/>
                <w:sz w:val="24"/>
                <w:lang w:val="en-US"/>
              </w:rPr>
            </w:pPr>
            <w:r>
              <w:rPr>
                <w:rFonts w:hint="eastAsia" w:ascii="Times New Roman" w:hAnsi="Times New Roman" w:eastAsia="仿宋_GB2312" w:cs="Times New Roman"/>
                <w:sz w:val="24"/>
                <w:lang w:val="en-US" w:eastAsia="zh-CN"/>
              </w:rPr>
              <w:t>23116</w:t>
            </w:r>
          </w:p>
        </w:tc>
        <w:tc>
          <w:tcPr>
            <w:tcW w:w="1275" w:type="dxa"/>
            <w:noWrap w:val="0"/>
            <w:vAlign w:val="top"/>
          </w:tcPr>
          <w:p w14:paraId="54B4613B">
            <w:pPr>
              <w:spacing w:line="360" w:lineRule="auto"/>
              <w:jc w:val="center"/>
              <w:rPr>
                <w:rFonts w:hint="eastAsia" w:eastAsia="仿宋_GB2312"/>
                <w:sz w:val="24"/>
              </w:rPr>
            </w:pPr>
            <w:r>
              <w:rPr>
                <w:rFonts w:hint="eastAsia" w:ascii="Times New Roman" w:hAnsi="Times New Roman" w:eastAsia="仿宋_GB2312" w:cs="Times New Roman"/>
                <w:sz w:val="24"/>
                <w:lang w:val="en-US" w:eastAsia="zh-CN"/>
              </w:rPr>
              <w:t>授课形式</w:t>
            </w:r>
          </w:p>
        </w:tc>
        <w:tc>
          <w:tcPr>
            <w:tcW w:w="1391" w:type="dxa"/>
            <w:noWrap w:val="0"/>
            <w:vAlign w:val="top"/>
          </w:tcPr>
          <w:p w14:paraId="2EAD05AE">
            <w:pPr>
              <w:spacing w:line="360" w:lineRule="auto"/>
              <w:jc w:val="center"/>
              <w:rPr>
                <w:rFonts w:hint="eastAsia" w:eastAsia="仿宋_GB2312"/>
                <w:sz w:val="24"/>
              </w:rPr>
            </w:pPr>
            <w:r>
              <w:rPr>
                <w:rFonts w:hint="eastAsia" w:ascii="Times New Roman" w:hAnsi="Times New Roman" w:eastAsia="仿宋_GB2312" w:cs="Times New Roman"/>
                <w:sz w:val="24"/>
                <w:lang w:val="en-US" w:eastAsia="zh-CN"/>
              </w:rPr>
              <w:t>讲授</w:t>
            </w:r>
          </w:p>
        </w:tc>
      </w:tr>
      <w:tr w14:paraId="533DE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80" w:type="dxa"/>
            <w:noWrap w:val="0"/>
            <w:vAlign w:val="top"/>
          </w:tcPr>
          <w:p w14:paraId="43C22FFE">
            <w:pPr>
              <w:spacing w:line="360" w:lineRule="auto"/>
              <w:jc w:val="center"/>
              <w:rPr>
                <w:rFonts w:hint="eastAsia" w:eastAsia="仿宋_GB2312"/>
                <w:sz w:val="24"/>
              </w:rPr>
            </w:pPr>
            <w:r>
              <w:rPr>
                <w:rFonts w:hint="eastAsia" w:eastAsia="仿宋_GB2312"/>
                <w:sz w:val="24"/>
              </w:rPr>
              <w:t>授课日期</w:t>
            </w:r>
          </w:p>
        </w:tc>
        <w:tc>
          <w:tcPr>
            <w:tcW w:w="4725" w:type="dxa"/>
            <w:gridSpan w:val="3"/>
            <w:noWrap w:val="0"/>
            <w:vAlign w:val="top"/>
          </w:tcPr>
          <w:p w14:paraId="1472CCC3">
            <w:pPr>
              <w:spacing w:line="360" w:lineRule="auto"/>
              <w:jc w:val="both"/>
              <w:rPr>
                <w:rFonts w:hint="eastAsia" w:eastAsia="仿宋_GB2312"/>
                <w:sz w:val="24"/>
              </w:rPr>
            </w:pPr>
            <w:r>
              <w:rPr>
                <w:rFonts w:hint="eastAsia" w:ascii="Times New Roman" w:hAnsi="Times New Roman" w:eastAsia="仿宋_GB2312" w:cs="Times New Roman"/>
                <w:sz w:val="24"/>
                <w:lang w:val="en-US" w:eastAsia="zh-CN"/>
              </w:rPr>
              <w:t xml:space="preserve">2025年 </w:t>
            </w:r>
            <w:r>
              <w:rPr>
                <w:rFonts w:hint="eastAsia" w:eastAsia="仿宋_GB2312" w:cs="Times New Roman"/>
                <w:sz w:val="24"/>
                <w:lang w:val="en-US" w:eastAsia="zh-CN"/>
              </w:rPr>
              <w:t>5</w:t>
            </w:r>
            <w:r>
              <w:rPr>
                <w:rFonts w:hint="eastAsia" w:ascii="Times New Roman" w:hAnsi="Times New Roman" w:eastAsia="仿宋_GB2312" w:cs="Times New Roman"/>
                <w:sz w:val="24"/>
                <w:lang w:val="en-US" w:eastAsia="zh-CN"/>
              </w:rPr>
              <w:t>月</w:t>
            </w:r>
            <w:r>
              <w:rPr>
                <w:rFonts w:hint="eastAsia" w:eastAsia="仿宋_GB2312" w:cs="Times New Roman"/>
                <w:sz w:val="24"/>
                <w:lang w:val="en-US" w:eastAsia="zh-CN"/>
              </w:rPr>
              <w:t>27</w:t>
            </w:r>
            <w:r>
              <w:rPr>
                <w:rFonts w:hint="eastAsia" w:ascii="Times New Roman" w:hAnsi="Times New Roman" w:eastAsia="仿宋_GB2312" w:cs="Times New Roman"/>
                <w:sz w:val="24"/>
                <w:lang w:val="en-US" w:eastAsia="zh-CN"/>
              </w:rPr>
              <w:t>日  第</w:t>
            </w:r>
            <w:r>
              <w:rPr>
                <w:rFonts w:hint="eastAsia" w:eastAsia="仿宋_GB2312" w:cs="Times New Roman"/>
                <w:sz w:val="24"/>
                <w:lang w:val="en-US" w:eastAsia="zh-CN"/>
              </w:rPr>
              <w:t>十六</w:t>
            </w:r>
            <w:r>
              <w:rPr>
                <w:rFonts w:hint="eastAsia" w:ascii="Times New Roman" w:hAnsi="Times New Roman" w:eastAsia="仿宋_GB2312" w:cs="Times New Roman"/>
                <w:sz w:val="24"/>
                <w:lang w:val="en-US" w:eastAsia="zh-CN"/>
              </w:rPr>
              <w:t>周</w:t>
            </w:r>
          </w:p>
        </w:tc>
        <w:tc>
          <w:tcPr>
            <w:tcW w:w="1275" w:type="dxa"/>
            <w:noWrap w:val="0"/>
            <w:vAlign w:val="top"/>
          </w:tcPr>
          <w:p w14:paraId="715A4591">
            <w:pPr>
              <w:spacing w:line="360" w:lineRule="auto"/>
              <w:jc w:val="center"/>
              <w:rPr>
                <w:rFonts w:hint="eastAsia" w:eastAsia="仿宋_GB2312"/>
                <w:sz w:val="24"/>
              </w:rPr>
            </w:pPr>
            <w:r>
              <w:rPr>
                <w:rFonts w:hint="eastAsia" w:ascii="Times New Roman" w:hAnsi="Times New Roman" w:eastAsia="仿宋_GB2312" w:cs="Times New Roman"/>
                <w:sz w:val="24"/>
                <w:lang w:val="en-US" w:eastAsia="zh-CN"/>
              </w:rPr>
              <w:t>授课时数</w:t>
            </w:r>
          </w:p>
        </w:tc>
        <w:tc>
          <w:tcPr>
            <w:tcW w:w="1391" w:type="dxa"/>
            <w:noWrap w:val="0"/>
            <w:vAlign w:val="top"/>
          </w:tcPr>
          <w:p w14:paraId="6CBFAB38">
            <w:pPr>
              <w:spacing w:line="360" w:lineRule="auto"/>
              <w:jc w:val="center"/>
              <w:rPr>
                <w:rFonts w:hint="eastAsia" w:eastAsia="仿宋_GB2312"/>
                <w:sz w:val="24"/>
              </w:rPr>
            </w:pPr>
            <w:r>
              <w:rPr>
                <w:rFonts w:hint="eastAsia" w:ascii="Times New Roman" w:hAnsi="Times New Roman" w:eastAsia="仿宋_GB2312" w:cs="Times New Roman"/>
                <w:sz w:val="24"/>
                <w:lang w:val="en-US" w:eastAsia="zh-CN"/>
              </w:rPr>
              <w:t>2</w:t>
            </w:r>
          </w:p>
        </w:tc>
      </w:tr>
      <w:tr w14:paraId="41DC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noWrap w:val="0"/>
            <w:vAlign w:val="center"/>
          </w:tcPr>
          <w:p w14:paraId="248E6B52">
            <w:pPr>
              <w:spacing w:line="360" w:lineRule="auto"/>
              <w:jc w:val="center"/>
              <w:rPr>
                <w:rFonts w:hint="eastAsia" w:eastAsia="仿宋_GB2312"/>
                <w:sz w:val="24"/>
              </w:rPr>
            </w:pPr>
            <w:r>
              <w:rPr>
                <w:rFonts w:hint="eastAsia" w:eastAsia="仿宋_GB2312"/>
                <w:sz w:val="24"/>
              </w:rPr>
              <w:t>授课章节名称</w:t>
            </w:r>
          </w:p>
        </w:tc>
        <w:tc>
          <w:tcPr>
            <w:tcW w:w="7391" w:type="dxa"/>
            <w:gridSpan w:val="5"/>
            <w:noWrap w:val="0"/>
            <w:vAlign w:val="center"/>
          </w:tcPr>
          <w:p w14:paraId="61ECF9DF">
            <w:pPr>
              <w:spacing w:line="360" w:lineRule="auto"/>
              <w:rPr>
                <w:rFonts w:hint="default" w:eastAsia="仿宋_GB2312"/>
                <w:sz w:val="24"/>
                <w:lang w:val="en-US"/>
              </w:rPr>
            </w:pPr>
            <w:r>
              <w:rPr>
                <w:rFonts w:hint="eastAsia" w:eastAsia="仿宋_GB2312"/>
                <w:color w:val="auto"/>
                <w:sz w:val="24"/>
                <w:lang w:val="en-US" w:eastAsia="zh-CN"/>
              </w:rPr>
              <w:t>大卫·科波菲尔（节选）</w:t>
            </w:r>
          </w:p>
        </w:tc>
      </w:tr>
      <w:tr w14:paraId="2A4F7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1680" w:type="dxa"/>
            <w:noWrap w:val="0"/>
            <w:vAlign w:val="center"/>
          </w:tcPr>
          <w:p w14:paraId="63C4DD89">
            <w:pPr>
              <w:spacing w:line="360" w:lineRule="auto"/>
              <w:jc w:val="center"/>
              <w:rPr>
                <w:rFonts w:hint="eastAsia" w:eastAsia="仿宋_GB2312"/>
                <w:sz w:val="24"/>
              </w:rPr>
            </w:pPr>
            <w:r>
              <w:rPr>
                <w:rFonts w:hint="eastAsia" w:eastAsia="仿宋_GB2312"/>
                <w:sz w:val="24"/>
              </w:rPr>
              <w:t>教学目的</w:t>
            </w:r>
          </w:p>
        </w:tc>
        <w:tc>
          <w:tcPr>
            <w:tcW w:w="7391" w:type="dxa"/>
            <w:gridSpan w:val="5"/>
            <w:noWrap w:val="0"/>
            <w:vAlign w:val="center"/>
          </w:tcPr>
          <w:p w14:paraId="49C9DC63">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312" w:lineRule="auto"/>
              <w:jc w:val="both"/>
              <w:textAlignment w:val="auto"/>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1.了解作者生平及小说的创作背景；</w:t>
            </w:r>
          </w:p>
          <w:p w14:paraId="07AAF836">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312" w:lineRule="auto"/>
              <w:jc w:val="both"/>
              <w:textAlignment w:val="auto"/>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2.学习本文综合运用外貌、动作、语言等描写来塑造人物的手法，体会第一人称叙述视角和夸张手法所带来的艺术效果。</w:t>
            </w:r>
          </w:p>
          <w:p w14:paraId="24ACADD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312" w:lineRule="auto"/>
              <w:jc w:val="both"/>
              <w:textAlignment w:val="auto"/>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3.理解作者对当时社会现实的深刻批判，体会作者对人世间善良、宽厚、仁爱等美德的赞美之情，学习作者揭恶扬善的精神追求。</w:t>
            </w:r>
          </w:p>
        </w:tc>
      </w:tr>
      <w:tr w14:paraId="1EEAA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680" w:type="dxa"/>
            <w:noWrap w:val="0"/>
            <w:vAlign w:val="center"/>
          </w:tcPr>
          <w:p w14:paraId="60C556AC">
            <w:pPr>
              <w:spacing w:line="360" w:lineRule="auto"/>
              <w:jc w:val="center"/>
              <w:rPr>
                <w:rFonts w:hint="eastAsia" w:eastAsia="仿宋_GB2312"/>
                <w:sz w:val="24"/>
              </w:rPr>
            </w:pPr>
            <w:r>
              <w:rPr>
                <w:rFonts w:hint="eastAsia" w:eastAsia="仿宋_GB2312"/>
                <w:sz w:val="24"/>
              </w:rPr>
              <w:t>教学重点</w:t>
            </w:r>
          </w:p>
        </w:tc>
        <w:tc>
          <w:tcPr>
            <w:tcW w:w="7391" w:type="dxa"/>
            <w:gridSpan w:val="5"/>
            <w:noWrap w:val="0"/>
            <w:vAlign w:val="center"/>
          </w:tcPr>
          <w:p w14:paraId="7671BE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借助对精彩片段的赏析，体会狄更斯语言的独特魅力。</w:t>
            </w:r>
          </w:p>
        </w:tc>
      </w:tr>
      <w:tr w14:paraId="5DEBA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680" w:type="dxa"/>
            <w:noWrap w:val="0"/>
            <w:vAlign w:val="center"/>
          </w:tcPr>
          <w:p w14:paraId="47ED1FFB">
            <w:pPr>
              <w:spacing w:line="360" w:lineRule="auto"/>
              <w:jc w:val="center"/>
              <w:rPr>
                <w:rFonts w:hint="eastAsia" w:eastAsia="仿宋_GB2312"/>
                <w:sz w:val="24"/>
              </w:rPr>
            </w:pPr>
            <w:r>
              <w:rPr>
                <w:rFonts w:hint="eastAsia" w:eastAsia="仿宋_GB2312"/>
                <w:sz w:val="24"/>
              </w:rPr>
              <w:t>教学难点</w:t>
            </w:r>
          </w:p>
        </w:tc>
        <w:tc>
          <w:tcPr>
            <w:tcW w:w="7391" w:type="dxa"/>
            <w:gridSpan w:val="5"/>
            <w:noWrap w:val="0"/>
            <w:vAlign w:val="center"/>
          </w:tcPr>
          <w:p w14:paraId="6A5DC0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kern w:val="2"/>
                <w:sz w:val="24"/>
                <w:szCs w:val="24"/>
                <w:lang w:val="en-US" w:eastAsia="zh-CN" w:bidi="ar-SA"/>
              </w:rPr>
              <w:t>借助作家对大卫·科波菲尔形象的塑造，探究作家的创作意图。</w:t>
            </w:r>
          </w:p>
        </w:tc>
      </w:tr>
      <w:tr w14:paraId="2583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680" w:type="dxa"/>
            <w:noWrap w:val="0"/>
            <w:vAlign w:val="center"/>
          </w:tcPr>
          <w:p w14:paraId="2E021E0E">
            <w:pPr>
              <w:spacing w:line="360" w:lineRule="auto"/>
              <w:jc w:val="center"/>
              <w:rPr>
                <w:rFonts w:hint="eastAsia" w:eastAsia="仿宋_GB2312"/>
                <w:sz w:val="24"/>
              </w:rPr>
            </w:pPr>
            <w:r>
              <w:rPr>
                <w:rFonts w:hint="eastAsia" w:eastAsia="仿宋_GB2312"/>
                <w:sz w:val="24"/>
              </w:rPr>
              <w:t>更新、补充、</w:t>
            </w:r>
          </w:p>
          <w:p w14:paraId="34E277BF">
            <w:pPr>
              <w:spacing w:line="360" w:lineRule="auto"/>
              <w:jc w:val="center"/>
              <w:rPr>
                <w:rFonts w:hint="eastAsia" w:eastAsia="仿宋_GB2312"/>
                <w:sz w:val="24"/>
              </w:rPr>
            </w:pPr>
            <w:r>
              <w:rPr>
                <w:rFonts w:hint="eastAsia" w:eastAsia="仿宋_GB2312"/>
                <w:sz w:val="24"/>
              </w:rPr>
              <w:t>删节内容</w:t>
            </w:r>
          </w:p>
        </w:tc>
        <w:tc>
          <w:tcPr>
            <w:tcW w:w="7391" w:type="dxa"/>
            <w:gridSpan w:val="5"/>
            <w:noWrap w:val="0"/>
            <w:vAlign w:val="center"/>
          </w:tcPr>
          <w:p w14:paraId="5DE82D87">
            <w:pPr>
              <w:spacing w:line="360" w:lineRule="auto"/>
              <w:rPr>
                <w:rFonts w:hint="eastAsia" w:eastAsia="仿宋_GB2312"/>
                <w:sz w:val="24"/>
              </w:rPr>
            </w:pPr>
            <w:r>
              <w:rPr>
                <w:rFonts w:hint="eastAsia" w:eastAsia="仿宋_GB2312"/>
                <w:sz w:val="24"/>
              </w:rPr>
              <w:t>无</w:t>
            </w:r>
          </w:p>
        </w:tc>
      </w:tr>
      <w:tr w14:paraId="28D4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noWrap w:val="0"/>
            <w:vAlign w:val="center"/>
          </w:tcPr>
          <w:p w14:paraId="49E4BAE0">
            <w:pPr>
              <w:spacing w:line="360" w:lineRule="auto"/>
              <w:jc w:val="center"/>
              <w:rPr>
                <w:rFonts w:hint="eastAsia" w:eastAsia="仿宋_GB2312"/>
                <w:sz w:val="24"/>
              </w:rPr>
            </w:pPr>
            <w:r>
              <w:rPr>
                <w:rFonts w:hint="eastAsia" w:eastAsia="仿宋_GB2312"/>
                <w:sz w:val="24"/>
              </w:rPr>
              <w:t>使用教具</w:t>
            </w:r>
          </w:p>
        </w:tc>
        <w:tc>
          <w:tcPr>
            <w:tcW w:w="7391" w:type="dxa"/>
            <w:gridSpan w:val="5"/>
            <w:noWrap w:val="0"/>
            <w:vAlign w:val="center"/>
          </w:tcPr>
          <w:p w14:paraId="39507EE8">
            <w:pPr>
              <w:spacing w:line="360" w:lineRule="auto"/>
              <w:rPr>
                <w:rFonts w:hint="eastAsia" w:eastAsia="仿宋_GB2312"/>
                <w:sz w:val="24"/>
              </w:rPr>
            </w:pPr>
            <w:r>
              <w:rPr>
                <w:rFonts w:hint="eastAsia" w:eastAsia="仿宋_GB2312"/>
                <w:sz w:val="24"/>
              </w:rPr>
              <w:t>多媒体</w:t>
            </w:r>
          </w:p>
        </w:tc>
      </w:tr>
      <w:tr w14:paraId="1110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noWrap w:val="0"/>
            <w:vAlign w:val="center"/>
          </w:tcPr>
          <w:p w14:paraId="2CEEE584">
            <w:pPr>
              <w:spacing w:line="360" w:lineRule="auto"/>
              <w:jc w:val="center"/>
              <w:rPr>
                <w:rFonts w:hint="eastAsia" w:eastAsia="仿宋_GB2312"/>
                <w:sz w:val="24"/>
              </w:rPr>
            </w:pPr>
            <w:r>
              <w:rPr>
                <w:rFonts w:hint="eastAsia" w:eastAsia="仿宋_GB2312"/>
                <w:sz w:val="24"/>
              </w:rPr>
              <w:t>课外作业</w:t>
            </w:r>
          </w:p>
        </w:tc>
        <w:tc>
          <w:tcPr>
            <w:tcW w:w="7391" w:type="dxa"/>
            <w:gridSpan w:val="5"/>
            <w:noWrap w:val="0"/>
            <w:vAlign w:val="center"/>
          </w:tcPr>
          <w:p w14:paraId="65EA43AA">
            <w:pPr>
              <w:spacing w:line="360" w:lineRule="auto"/>
              <w:rPr>
                <w:rFonts w:hint="default" w:eastAsia="仿宋_GB2312"/>
                <w:sz w:val="24"/>
                <w:lang w:val="en-US" w:eastAsia="zh-CN"/>
              </w:rPr>
            </w:pPr>
            <w:r>
              <w:rPr>
                <w:rFonts w:hint="eastAsia" w:eastAsia="仿宋_GB2312"/>
                <w:sz w:val="24"/>
                <w:lang w:val="en-US" w:eastAsia="zh-CN"/>
              </w:rPr>
              <w:t>完成学习用书P91-93</w:t>
            </w:r>
          </w:p>
        </w:tc>
      </w:tr>
      <w:tr w14:paraId="30AC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1680" w:type="dxa"/>
            <w:noWrap w:val="0"/>
            <w:vAlign w:val="center"/>
          </w:tcPr>
          <w:p w14:paraId="4770E2BD">
            <w:pPr>
              <w:spacing w:line="360" w:lineRule="auto"/>
              <w:jc w:val="center"/>
              <w:rPr>
                <w:rFonts w:hint="eastAsia" w:eastAsia="仿宋_GB2312"/>
                <w:sz w:val="24"/>
              </w:rPr>
            </w:pPr>
            <w:r>
              <w:rPr>
                <w:rFonts w:hint="eastAsia" w:eastAsia="仿宋_GB2312"/>
                <w:sz w:val="24"/>
              </w:rPr>
              <w:t>课后体会</w:t>
            </w:r>
          </w:p>
        </w:tc>
        <w:tc>
          <w:tcPr>
            <w:tcW w:w="7391" w:type="dxa"/>
            <w:gridSpan w:val="5"/>
            <w:noWrap w:val="0"/>
            <w:vAlign w:val="center"/>
          </w:tcPr>
          <w:p w14:paraId="22EC1210">
            <w:pPr>
              <w:ind w:firstLine="480" w:firstLineChars="200"/>
              <w:rPr>
                <w:rFonts w:hint="eastAsia" w:eastAsia="仿宋_GB2312"/>
                <w:sz w:val="24"/>
              </w:rPr>
            </w:pPr>
            <w:r>
              <w:rPr>
                <w:rFonts w:hint="eastAsia" w:eastAsia="仿宋_GB2312" w:cs="Times New Roman"/>
                <w:kern w:val="2"/>
                <w:sz w:val="24"/>
                <w:szCs w:val="24"/>
                <w:lang w:val="en-US" w:eastAsia="zh-CN" w:bidi="ar-SA"/>
              </w:rPr>
              <w:t>本次课</w:t>
            </w:r>
            <w:r>
              <w:rPr>
                <w:rFonts w:hint="eastAsia" w:ascii="Times New Roman" w:hAnsi="Times New Roman" w:eastAsia="仿宋_GB2312" w:cs="Times New Roman"/>
                <w:kern w:val="2"/>
                <w:sz w:val="24"/>
                <w:szCs w:val="24"/>
                <w:lang w:val="en-US" w:eastAsia="zh-CN" w:bidi="ar-SA"/>
              </w:rPr>
              <w:t>采用小组讨论、文本细读等多种教学策略，引导学生深入剖析大卫、米考伯夫妇等关键人物的性格特征、成长轨迹以及他们在小说中的命运走向</w:t>
            </w:r>
            <w:bookmarkStart w:id="0" w:name="_GoBack"/>
            <w:bookmarkEnd w:id="0"/>
            <w:r>
              <w:rPr>
                <w:rFonts w:hint="eastAsia" w:ascii="Times New Roman" w:hAnsi="Times New Roman" w:eastAsia="仿宋_GB2312" w:cs="Times New Roman"/>
                <w:kern w:val="2"/>
                <w:sz w:val="24"/>
                <w:szCs w:val="24"/>
                <w:lang w:val="en-US" w:eastAsia="zh-CN" w:bidi="ar-SA"/>
              </w:rPr>
              <w:t>。通过具体文本段落的分析，学生们不仅掌握了直接描写、间接描写、对话描写等多种人物塑造手法，还深刻理解了“米考伯主义”背后的社会背景和个人心理</w:t>
            </w:r>
            <w:r>
              <w:rPr>
                <w:rFonts w:hint="eastAsia" w:eastAsia="仿宋_GB2312" w:cs="Times New Roman"/>
                <w:kern w:val="2"/>
                <w:sz w:val="24"/>
                <w:szCs w:val="24"/>
                <w:lang w:val="en-US" w:eastAsia="zh-CN" w:bidi="ar-SA"/>
              </w:rPr>
              <w:t>，深切体会了狄更斯语言的独特魅力</w:t>
            </w:r>
            <w:r>
              <w:rPr>
                <w:rFonts w:hint="eastAsia" w:ascii="Times New Roman" w:hAnsi="Times New Roman" w:eastAsia="仿宋_GB2312" w:cs="Times New Roman"/>
                <w:kern w:val="2"/>
                <w:sz w:val="24"/>
                <w:szCs w:val="24"/>
                <w:lang w:val="en-US" w:eastAsia="zh-CN" w:bidi="ar-SA"/>
              </w:rPr>
              <w:t>。</w:t>
            </w:r>
          </w:p>
        </w:tc>
      </w:tr>
      <w:tr w14:paraId="5667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9071" w:type="dxa"/>
            <w:gridSpan w:val="6"/>
            <w:noWrap w:val="0"/>
            <w:vAlign w:val="top"/>
          </w:tcPr>
          <w:p w14:paraId="40279933">
            <w:pPr>
              <w:spacing w:line="360" w:lineRule="auto"/>
              <w:jc w:val="center"/>
              <w:rPr>
                <w:rFonts w:hint="eastAsia" w:eastAsia="仿宋_GB2312"/>
                <w:sz w:val="24"/>
                <w:u w:val="wavyDouble"/>
              </w:rPr>
            </w:pPr>
            <w:r>
              <w:rPr>
                <w:rFonts w:hint="eastAsia" w:eastAsia="仿宋_GB2312"/>
                <w:sz w:val="24"/>
                <w:u w:val="wavyDouble"/>
              </w:rPr>
              <w:t>授课主要内容或板书设计</w:t>
            </w:r>
          </w:p>
          <w:p w14:paraId="2C0A2A06">
            <w:pPr>
              <w:keepNext w:val="0"/>
              <w:keepLines w:val="0"/>
              <w:pageBreakBefore w:val="0"/>
              <w:widowControl w:val="0"/>
              <w:tabs>
                <w:tab w:val="left" w:pos="1105"/>
              </w:tabs>
              <w:kinsoku/>
              <w:wordWrap/>
              <w:overflowPunct/>
              <w:topLinePunct w:val="0"/>
              <w:autoSpaceDE/>
              <w:autoSpaceDN/>
              <w:bidi w:val="0"/>
              <w:adjustRightInd/>
              <w:snapToGrid/>
              <w:spacing w:line="240" w:lineRule="auto"/>
              <w:jc w:val="center"/>
              <w:textAlignment w:val="auto"/>
              <w:rPr>
                <w:rFonts w:hint="default" w:ascii="宋体" w:hAnsi="宋体"/>
                <w:b/>
                <w:sz w:val="24"/>
                <w:szCs w:val="24"/>
                <w:lang w:val="en-US" w:eastAsia="zh-CN"/>
              </w:rPr>
            </w:pPr>
            <w:r>
              <w:rPr>
                <w:rFonts w:hint="eastAsia" w:ascii="宋体" w:hAnsi="宋体" w:eastAsia="宋体" w:cs="宋体"/>
                <w:b/>
                <w:bCs/>
                <w:color w:val="auto"/>
                <w:sz w:val="24"/>
                <w:lang w:val="en-US" w:eastAsia="zh-CN"/>
              </w:rPr>
              <w:t>大卫·科波菲尔</w:t>
            </w:r>
          </w:p>
          <w:p w14:paraId="3B440F43">
            <w:pPr>
              <w:keepNext w:val="0"/>
              <w:keepLines w:val="0"/>
              <w:pageBreakBefore w:val="0"/>
              <w:widowControl w:val="0"/>
              <w:numPr>
                <w:ilvl w:val="0"/>
                <w:numId w:val="0"/>
              </w:numPr>
              <w:tabs>
                <w:tab w:val="left" w:pos="1105"/>
              </w:tabs>
              <w:kinsoku/>
              <w:wordWrap/>
              <w:overflowPunct/>
              <w:topLinePunct w:val="0"/>
              <w:autoSpaceDE/>
              <w:autoSpaceDN/>
              <w:bidi w:val="0"/>
              <w:adjustRightInd/>
              <w:snapToGrid/>
              <w:spacing w:line="312" w:lineRule="auto"/>
              <w:jc w:val="center"/>
              <w:textAlignment w:val="auto"/>
              <w:rPr>
                <w:rFonts w:hint="eastAsia" w:asciiTheme="minorEastAsia" w:hAnsiTheme="minorEastAsia" w:eastAsiaTheme="minorEastAsia" w:cstheme="minorEastAsia"/>
                <w:b/>
                <w:bCs/>
                <w:color w:val="2B2B2B"/>
                <w:kern w:val="2"/>
                <w:sz w:val="21"/>
                <w:szCs w:val="21"/>
                <w:shd w:val="clear" w:color="auto" w:fill="FFFFFF"/>
                <w:lang w:val="en-US" w:eastAsia="zh-CN"/>
              </w:rPr>
            </w:pPr>
            <w:r>
              <w:rPr>
                <w:rFonts w:hint="eastAsia" w:asciiTheme="minorEastAsia" w:hAnsiTheme="minorEastAsia" w:eastAsiaTheme="minorEastAsia" w:cstheme="minorEastAsia"/>
                <w:b/>
                <w:bCs/>
                <w:color w:val="2B2B2B"/>
                <w:kern w:val="2"/>
                <w:sz w:val="21"/>
                <w:szCs w:val="21"/>
                <w:shd w:val="clear" w:color="auto" w:fill="FFFFFF"/>
                <w:lang w:val="en-US" w:eastAsia="zh-CN"/>
              </w:rPr>
              <w:t>狄更斯</w:t>
            </w:r>
          </w:p>
          <w:p w14:paraId="6DE5D121">
            <w:pPr>
              <w:keepNext w:val="0"/>
              <w:keepLines w:val="0"/>
              <w:pageBreakBefore w:val="0"/>
              <w:widowControl w:val="0"/>
              <w:numPr>
                <w:ilvl w:val="0"/>
                <w:numId w:val="0"/>
              </w:numPr>
              <w:tabs>
                <w:tab w:val="left" w:pos="1105"/>
              </w:tabs>
              <w:kinsoku/>
              <w:wordWrap/>
              <w:overflowPunct/>
              <w:topLinePunct w:val="0"/>
              <w:autoSpaceDE/>
              <w:autoSpaceDN/>
              <w:bidi w:val="0"/>
              <w:adjustRightInd/>
              <w:snapToGrid/>
              <w:spacing w:line="312" w:lineRule="auto"/>
              <w:jc w:val="both"/>
              <w:textAlignment w:val="auto"/>
              <w:rPr>
                <w:rFonts w:hint="default" w:asciiTheme="minorEastAsia" w:hAnsiTheme="minorEastAsia" w:eastAsiaTheme="minorEastAsia" w:cstheme="minorEastAsia"/>
                <w:b w:val="0"/>
                <w:bCs w:val="0"/>
                <w:color w:val="2B2B2B"/>
                <w:kern w:val="2"/>
                <w:sz w:val="24"/>
                <w:szCs w:val="24"/>
                <w:shd w:val="clear" w:color="auto" w:fill="FFFFFF"/>
                <w:lang w:val="en-US" w:eastAsia="zh-CN" w:bidi="ar-SA"/>
              </w:rPr>
            </w:pPr>
            <w:r>
              <w:rPr>
                <w:rFonts w:hint="default" w:asciiTheme="minorEastAsia" w:hAnsiTheme="minorEastAsia" w:eastAsiaTheme="minorEastAsia" w:cstheme="minorEastAsia"/>
                <w:b w:val="0"/>
                <w:bCs w:val="0"/>
                <w:color w:val="2B2B2B"/>
                <w:kern w:val="2"/>
                <w:sz w:val="24"/>
                <w:szCs w:val="24"/>
                <w:shd w:val="clear" w:color="auto" w:fill="FFFFFF"/>
                <w:lang w:val="en-US" w:eastAsia="zh-CN" w:bidi="ar-SA"/>
              </w:rPr>
              <w:t>第一部分（第1-5段），</w:t>
            </w:r>
            <w:r>
              <w:rPr>
                <w:rFonts w:hint="eastAsia" w:asciiTheme="minorEastAsia" w:hAnsiTheme="minorEastAsia" w:eastAsiaTheme="minorEastAsia" w:cstheme="minorEastAsia"/>
                <w:b w:val="0"/>
                <w:bCs w:val="0"/>
                <w:color w:val="2B2B2B"/>
                <w:kern w:val="2"/>
                <w:sz w:val="24"/>
                <w:szCs w:val="24"/>
                <w:shd w:val="clear" w:color="auto" w:fill="FFFFFF"/>
                <w:lang w:val="en-US" w:eastAsia="zh-CN" w:bidi="ar-SA"/>
              </w:rPr>
              <w:t>写</w:t>
            </w:r>
            <w:r>
              <w:rPr>
                <w:rFonts w:hint="default" w:asciiTheme="minorEastAsia" w:hAnsiTheme="minorEastAsia" w:eastAsiaTheme="minorEastAsia" w:cstheme="minorEastAsia"/>
                <w:b w:val="0"/>
                <w:bCs w:val="0"/>
                <w:color w:val="2B2B2B"/>
                <w:kern w:val="2"/>
                <w:sz w:val="24"/>
                <w:szCs w:val="24"/>
                <w:shd w:val="clear" w:color="auto" w:fill="FFFFFF"/>
                <w:lang w:val="en-US" w:eastAsia="zh-CN" w:bidi="ar-SA"/>
              </w:rPr>
              <w:t>“我”来到谋得斯通-格林比货行当童工。</w:t>
            </w:r>
          </w:p>
          <w:p w14:paraId="31DCF679">
            <w:pPr>
              <w:keepNext w:val="0"/>
              <w:keepLines w:val="0"/>
              <w:pageBreakBefore w:val="0"/>
              <w:widowControl w:val="0"/>
              <w:numPr>
                <w:ilvl w:val="0"/>
                <w:numId w:val="0"/>
              </w:numPr>
              <w:tabs>
                <w:tab w:val="left" w:pos="1105"/>
              </w:tabs>
              <w:kinsoku/>
              <w:wordWrap/>
              <w:overflowPunct/>
              <w:topLinePunct w:val="0"/>
              <w:autoSpaceDE/>
              <w:autoSpaceDN/>
              <w:bidi w:val="0"/>
              <w:adjustRightInd/>
              <w:snapToGrid/>
              <w:spacing w:line="312" w:lineRule="auto"/>
              <w:jc w:val="both"/>
              <w:textAlignment w:val="auto"/>
              <w:rPr>
                <w:rFonts w:hint="default" w:asciiTheme="minorEastAsia" w:hAnsiTheme="minorEastAsia" w:eastAsiaTheme="minorEastAsia" w:cstheme="minorEastAsia"/>
                <w:b w:val="0"/>
                <w:bCs w:val="0"/>
                <w:color w:val="2B2B2B"/>
                <w:kern w:val="2"/>
                <w:sz w:val="24"/>
                <w:szCs w:val="24"/>
                <w:shd w:val="clear" w:color="auto" w:fill="FFFFFF"/>
                <w:lang w:val="en-US" w:eastAsia="zh-CN" w:bidi="ar-SA"/>
              </w:rPr>
            </w:pPr>
            <w:r>
              <w:rPr>
                <w:rFonts w:hint="default" w:asciiTheme="minorEastAsia" w:hAnsiTheme="minorEastAsia" w:eastAsiaTheme="minorEastAsia" w:cstheme="minorEastAsia"/>
                <w:b w:val="0"/>
                <w:bCs w:val="0"/>
                <w:color w:val="2B2B2B"/>
                <w:kern w:val="2"/>
                <w:sz w:val="24"/>
                <w:szCs w:val="24"/>
                <w:shd w:val="clear" w:color="auto" w:fill="FFFFFF"/>
                <w:lang w:val="en-US" w:eastAsia="zh-CN" w:bidi="ar-SA"/>
              </w:rPr>
              <w:t>第二部分（第6-53段），写“我”租下米考伯的房间后与米考伯夫妇的交往，得知他们的困难并成为对方的知已。</w:t>
            </w:r>
          </w:p>
          <w:p w14:paraId="58F00518">
            <w:pPr>
              <w:keepNext w:val="0"/>
              <w:keepLines w:val="0"/>
              <w:pageBreakBefore w:val="0"/>
              <w:widowControl w:val="0"/>
              <w:numPr>
                <w:ilvl w:val="0"/>
                <w:numId w:val="0"/>
              </w:numPr>
              <w:tabs>
                <w:tab w:val="left" w:pos="1105"/>
              </w:tabs>
              <w:kinsoku/>
              <w:wordWrap/>
              <w:overflowPunct/>
              <w:topLinePunct w:val="0"/>
              <w:autoSpaceDE/>
              <w:autoSpaceDN/>
              <w:bidi w:val="0"/>
              <w:adjustRightInd/>
              <w:snapToGrid/>
              <w:spacing w:line="312" w:lineRule="auto"/>
              <w:jc w:val="both"/>
              <w:textAlignment w:val="auto"/>
              <w:rPr>
                <w:rFonts w:hint="eastAsia" w:asciiTheme="minorEastAsia" w:hAnsiTheme="minorEastAsia" w:eastAsiaTheme="minorEastAsia" w:cstheme="minorEastAsia"/>
                <w:b/>
                <w:bCs/>
                <w:color w:val="2B2B2B"/>
                <w:kern w:val="2"/>
                <w:sz w:val="21"/>
                <w:szCs w:val="21"/>
                <w:shd w:val="clear" w:color="auto" w:fill="FFFFFF"/>
                <w:lang w:val="en-US" w:eastAsia="zh-CN"/>
              </w:rPr>
            </w:pPr>
            <w:r>
              <w:rPr>
                <w:rFonts w:hint="default" w:asciiTheme="minorEastAsia" w:hAnsiTheme="minorEastAsia" w:eastAsiaTheme="minorEastAsia" w:cstheme="minorEastAsia"/>
                <w:b w:val="0"/>
                <w:bCs w:val="0"/>
                <w:color w:val="2B2B2B"/>
                <w:kern w:val="2"/>
                <w:sz w:val="24"/>
                <w:szCs w:val="24"/>
                <w:shd w:val="clear" w:color="auto" w:fill="FFFFFF"/>
                <w:lang w:val="en-US" w:eastAsia="zh-CN" w:bidi="ar-SA"/>
              </w:rPr>
              <w:t>第三部分（第54段），抒发“我”的感想，强调一个人的经历和遭遇有助于他本人的成功。</w:t>
            </w:r>
          </w:p>
        </w:tc>
      </w:tr>
    </w:tbl>
    <w:p w14:paraId="1288EB7F">
      <w:pPr>
        <w:ind w:right="480"/>
        <w:jc w:val="center"/>
        <w:rPr>
          <w:rFonts w:ascii="宋体" w:hAnsi="宋体"/>
          <w:b/>
          <w:szCs w:val="21"/>
        </w:rPr>
      </w:pPr>
      <w:r>
        <w:rPr>
          <w:rFonts w:eastAsia="仿宋_GB2312"/>
          <w:sz w:val="24"/>
        </w:rPr>
        <w:br w:type="page"/>
      </w:r>
      <w:r>
        <w:rPr>
          <w:rFonts w:hint="eastAsia" w:ascii="宋体" w:hAnsi="宋体"/>
          <w:b/>
          <w:szCs w:val="21"/>
        </w:rPr>
        <w:t>授课主要内容或板书设计</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1"/>
      </w:tblGrid>
      <w:tr w14:paraId="30293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8" w:hRule="atLeast"/>
        </w:trPr>
        <w:tc>
          <w:tcPr>
            <w:tcW w:w="9161" w:type="dxa"/>
            <w:noWrap w:val="0"/>
            <w:vAlign w:val="top"/>
          </w:tcPr>
          <w:p w14:paraId="77C1144A">
            <w:pPr>
              <w:jc w:val="center"/>
              <w:rPr>
                <w:rFonts w:hint="eastAsia" w:ascii="宋体" w:hAnsi="宋体"/>
                <w:b/>
                <w:szCs w:val="21"/>
              </w:rPr>
            </w:pPr>
            <w:r>
              <w:rPr>
                <w:rFonts w:hint="eastAsia" w:ascii="宋体" w:hAnsi="宋体"/>
                <w:b/>
                <w:szCs w:val="21"/>
              </w:rPr>
              <w:t>第一课时</w:t>
            </w:r>
          </w:p>
          <w:p w14:paraId="6311EB05">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一、导入</w:t>
            </w:r>
          </w:p>
          <w:p w14:paraId="1ADEAB80">
            <w:pPr>
              <w:ind w:firstLine="420" w:firstLineChars="200"/>
              <w:rPr>
                <w:rFonts w:hint="eastAsia" w:eastAsia="宋体"/>
                <w:lang w:eastAsia="zh-CN"/>
              </w:rPr>
            </w:pPr>
            <w:r>
              <w:rPr>
                <w:rFonts w:hint="eastAsia"/>
              </w:rPr>
              <w:t>忧来无方，窗外下雨，坐沙发，吃巧克力，读狄更斯，心情又会好起来，和世界妥协。——托尔斯泰</w:t>
            </w:r>
            <w:r>
              <w:rPr>
                <w:rFonts w:hint="eastAsia"/>
                <w:lang w:eastAsia="zh-CN"/>
              </w:rPr>
              <w:t>。</w:t>
            </w:r>
          </w:p>
          <w:p w14:paraId="631B0B03">
            <w:pPr>
              <w:ind w:firstLine="420" w:firstLineChars="200"/>
              <w:rPr>
                <w:rFonts w:hint="eastAsia" w:ascii="宋体" w:hAnsi="宋体"/>
                <w:b w:val="0"/>
                <w:bCs w:val="0"/>
                <w:sz w:val="21"/>
                <w:szCs w:val="21"/>
                <w:lang w:val="en-US" w:eastAsia="zh-CN"/>
              </w:rPr>
            </w:pPr>
            <w:r>
              <w:rPr>
                <w:rFonts w:hint="eastAsia"/>
              </w:rPr>
              <w:t>他，被高尔基称赞为“不仅是一位反映了现实，而且还尽力对现实起作用的作家”；被萧伯纳评价为“是一位革命者，敢于蔑视众议院”；被后人赞誉为是十九世纪英国最伟大的小说家，他就是狄更斯。今天我们一起来进入他杰出的作品《大卫·科波菲尔》。</w:t>
            </w:r>
          </w:p>
          <w:p w14:paraId="3AC9D4C5">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2" w:firstLineChars="200"/>
              <w:jc w:val="both"/>
              <w:textAlignment w:val="auto"/>
              <w:rPr>
                <w:rFonts w:hint="default" w:ascii="宋体" w:hAnsi="宋体"/>
                <w:b w:val="0"/>
                <w:bCs w:val="0"/>
                <w:sz w:val="21"/>
                <w:szCs w:val="21"/>
                <w:lang w:val="en-US" w:eastAsia="zh-CN"/>
              </w:rPr>
            </w:pPr>
            <w:r>
              <w:rPr>
                <w:rFonts w:hint="default" w:ascii="宋体" w:hAnsi="宋体"/>
                <w:b/>
                <w:bCs/>
                <w:sz w:val="21"/>
                <w:szCs w:val="21"/>
                <w:lang w:val="en-US" w:eastAsia="zh-CN"/>
              </w:rPr>
              <w:t>二、</w:t>
            </w:r>
            <w:r>
              <w:rPr>
                <w:rFonts w:hint="eastAsia" w:ascii="宋体" w:hAnsi="宋体"/>
                <w:b/>
                <w:bCs/>
                <w:sz w:val="21"/>
                <w:szCs w:val="21"/>
                <w:lang w:val="en-US" w:eastAsia="zh-CN"/>
              </w:rPr>
              <w:t>介绍作者</w:t>
            </w:r>
          </w:p>
          <w:p w14:paraId="0A668242">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eastAsia" w:ascii="宋体" w:hAnsi="宋体"/>
                <w:b w:val="0"/>
                <w:bCs w:val="0"/>
                <w:sz w:val="21"/>
                <w:szCs w:val="21"/>
                <w:lang w:val="en-US" w:eastAsia="zh-CN"/>
              </w:rPr>
            </w:pPr>
            <w:r>
              <w:rPr>
                <w:rFonts w:hint="default" w:ascii="宋体" w:hAnsi="宋体"/>
                <w:b w:val="0"/>
                <w:bCs w:val="0"/>
                <w:sz w:val="21"/>
                <w:szCs w:val="21"/>
                <w:lang w:val="en-US" w:eastAsia="zh-CN"/>
              </w:rPr>
              <w:t>1.了解作者</w:t>
            </w:r>
          </w:p>
          <w:p w14:paraId="372BB276">
            <w:pPr>
              <w:ind w:firstLine="420" w:firstLineChars="200"/>
              <w:rPr>
                <w:rFonts w:hint="eastAsia"/>
              </w:rPr>
            </w:pPr>
            <w:r>
              <w:rPr>
                <w:rFonts w:hint="eastAsia"/>
              </w:rPr>
              <w:t>查尔斯·狄更斯（1812—1870），英国作家。主要作品有《大卫·科波菲尔》《匹克威克外传》《雾都孤儿》《老古玩店》《艰难时世》《我们共同的朋友》《双城记》等。</w:t>
            </w:r>
          </w:p>
          <w:p w14:paraId="4EC1C18C">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rPr>
              <w:t>他特别注意描写生活在英国社会底层的“小人物”的生活遭遇，深刻地反映了当时英国复杂的社会现实，为英国批判现实主义文学的开拓和发展做出了卓越的贡献。他的作品对英国文学发展起到了深远的影响。去世后被安葬在西敏寺的诗人角，墓碑上写道：“他是贫穷、受苦与被压迫人民的同情者；他的去世令世界失去了一位伟大的英国作家。”</w:t>
            </w:r>
          </w:p>
          <w:p w14:paraId="38CA687D">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eastAsia" w:ascii="宋体" w:hAnsi="宋体"/>
                <w:b w:val="0"/>
                <w:bCs w:val="0"/>
                <w:sz w:val="21"/>
                <w:szCs w:val="21"/>
                <w:lang w:val="en-US" w:eastAsia="zh-CN"/>
              </w:rPr>
            </w:pPr>
            <w:r>
              <w:rPr>
                <w:rFonts w:hint="default" w:ascii="宋体" w:hAnsi="宋体"/>
                <w:b w:val="0"/>
                <w:bCs w:val="0"/>
                <w:sz w:val="21"/>
                <w:szCs w:val="21"/>
                <w:lang w:val="en-US" w:eastAsia="zh-CN"/>
              </w:rPr>
              <w:t>2.相关背景</w:t>
            </w:r>
          </w:p>
          <w:p w14:paraId="77D06D4A">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rPr>
              <w:t>《大卫·科波菲尔》属于19世纪批判现实主义文学范畴，为我们细致勾勒出一幅19世纪中叶涵盖英国社会各个层面的生活画卷。故事背景依托于英国的维多利亚时代，这一时代的英国享受着工业革命带来的显著成果，表面是烈火烹油、鲜花着锦的繁荣盛世，但实际社会贫富差距悬殊，社会矛盾日益凸显。小说也带有自传色彩，许多内容的取材来源于狄更斯的亲身经历和见闻，全书以深刻反映作家个人生活和际遇为基调。</w:t>
            </w:r>
          </w:p>
          <w:p w14:paraId="316A984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2" w:firstLineChars="200"/>
              <w:jc w:val="both"/>
              <w:textAlignment w:val="auto"/>
              <w:rPr>
                <w:rFonts w:hint="eastAsia" w:ascii="宋体" w:hAnsi="宋体"/>
                <w:b w:val="0"/>
                <w:bCs w:val="0"/>
                <w:sz w:val="21"/>
                <w:szCs w:val="21"/>
                <w:lang w:val="en-US" w:eastAsia="zh-CN"/>
              </w:rPr>
            </w:pPr>
            <w:r>
              <w:rPr>
                <w:rFonts w:hint="default" w:ascii="宋体" w:hAnsi="宋体"/>
                <w:b/>
                <w:bCs/>
                <w:sz w:val="21"/>
                <w:szCs w:val="21"/>
                <w:lang w:val="en-US" w:eastAsia="zh-CN"/>
              </w:rPr>
              <w:t>三、初读</w:t>
            </w:r>
            <w:r>
              <w:rPr>
                <w:rFonts w:hint="eastAsia" w:ascii="宋体" w:hAnsi="宋体"/>
                <w:b/>
                <w:bCs/>
                <w:sz w:val="21"/>
                <w:szCs w:val="21"/>
                <w:lang w:val="en-US" w:eastAsia="zh-CN"/>
              </w:rPr>
              <w:t>课文，梳理结构</w:t>
            </w:r>
          </w:p>
          <w:p w14:paraId="1E55D76C">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eastAsia" w:ascii="宋体" w:hAnsi="宋体"/>
                <w:b w:val="0"/>
                <w:bCs w:val="0"/>
                <w:sz w:val="21"/>
                <w:szCs w:val="21"/>
                <w:lang w:val="en-US" w:eastAsia="zh-CN"/>
              </w:rPr>
            </w:pPr>
            <w:r>
              <w:rPr>
                <w:rFonts w:hint="eastAsia" w:ascii="宋体" w:hAnsi="宋体"/>
                <w:b w:val="0"/>
                <w:bCs w:val="0"/>
                <w:sz w:val="21"/>
                <w:szCs w:val="21"/>
                <w:lang w:val="en-US" w:eastAsia="zh-CN"/>
              </w:rPr>
              <w:t>1.学生分组朗读课文；</w:t>
            </w:r>
          </w:p>
          <w:p w14:paraId="4A9EA74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eastAsia" w:ascii="宋体" w:hAnsi="宋体"/>
                <w:b w:val="0"/>
                <w:bCs w:val="0"/>
                <w:sz w:val="21"/>
                <w:szCs w:val="21"/>
                <w:lang w:val="en-US" w:eastAsia="zh-CN"/>
              </w:rPr>
            </w:pPr>
            <w:r>
              <w:rPr>
                <w:rFonts w:hint="eastAsia" w:ascii="宋体" w:hAnsi="宋体"/>
                <w:b w:val="0"/>
                <w:bCs w:val="0"/>
                <w:sz w:val="21"/>
                <w:szCs w:val="21"/>
                <w:lang w:val="en-US" w:eastAsia="zh-CN"/>
              </w:rPr>
              <w:t>2.小组讨论，梳理结构：</w:t>
            </w:r>
          </w:p>
          <w:p w14:paraId="1BD2795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第一部分（第1-5段），</w:t>
            </w:r>
            <w:r>
              <w:rPr>
                <w:rFonts w:hint="eastAsia" w:ascii="宋体" w:hAnsi="宋体"/>
                <w:b w:val="0"/>
                <w:bCs w:val="0"/>
                <w:sz w:val="21"/>
                <w:szCs w:val="21"/>
                <w:lang w:val="en-US" w:eastAsia="zh-CN"/>
              </w:rPr>
              <w:t>写</w:t>
            </w:r>
            <w:r>
              <w:rPr>
                <w:rFonts w:hint="default" w:ascii="宋体" w:hAnsi="宋体"/>
                <w:b w:val="0"/>
                <w:bCs w:val="0"/>
                <w:sz w:val="21"/>
                <w:szCs w:val="21"/>
                <w:lang w:val="en-US" w:eastAsia="zh-CN"/>
              </w:rPr>
              <w:t>“我”来到谋得斯通-格林比货行当童工。</w:t>
            </w:r>
          </w:p>
          <w:p w14:paraId="7EDE5BA7">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第二部分（第6-53段），写“我”租下米考伯的房间后与米考伯夫妇的交往，得知他们的困难并成为对方的知已。</w:t>
            </w:r>
          </w:p>
          <w:p w14:paraId="680DCCD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（6-23段）：米考伯邀请“我”做房客</w:t>
            </w:r>
            <w:r>
              <w:rPr>
                <w:rFonts w:hint="eastAsia" w:ascii="宋体" w:hAnsi="宋体"/>
                <w:b w:val="0"/>
                <w:bCs w:val="0"/>
                <w:sz w:val="21"/>
                <w:szCs w:val="21"/>
                <w:lang w:val="en-US" w:eastAsia="zh-CN"/>
              </w:rPr>
              <w:t>；</w:t>
            </w:r>
          </w:p>
          <w:p w14:paraId="373842A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（24-44段）：米考伯一家被催债，靠典当度日</w:t>
            </w:r>
            <w:r>
              <w:rPr>
                <w:rFonts w:hint="eastAsia" w:ascii="宋体" w:hAnsi="宋体"/>
                <w:b w:val="0"/>
                <w:bCs w:val="0"/>
                <w:sz w:val="21"/>
                <w:szCs w:val="21"/>
                <w:lang w:val="en-US" w:eastAsia="zh-CN"/>
              </w:rPr>
              <w:t>；</w:t>
            </w:r>
          </w:p>
          <w:p w14:paraId="3F055A0F">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（45-51段）：米考伯一家入狱</w:t>
            </w:r>
            <w:r>
              <w:rPr>
                <w:rFonts w:hint="eastAsia" w:ascii="宋体" w:hAnsi="宋体"/>
                <w:b w:val="0"/>
                <w:bCs w:val="0"/>
                <w:sz w:val="21"/>
                <w:szCs w:val="21"/>
                <w:lang w:val="en-US" w:eastAsia="zh-CN"/>
              </w:rPr>
              <w:t>；</w:t>
            </w:r>
          </w:p>
          <w:p w14:paraId="460C1E1E">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（52-5</w:t>
            </w:r>
            <w:r>
              <w:rPr>
                <w:rFonts w:hint="eastAsia" w:ascii="宋体" w:hAnsi="宋体"/>
                <w:b w:val="0"/>
                <w:bCs w:val="0"/>
                <w:sz w:val="21"/>
                <w:szCs w:val="21"/>
                <w:lang w:val="en-US" w:eastAsia="zh-CN"/>
              </w:rPr>
              <w:t>3</w:t>
            </w:r>
            <w:r>
              <w:rPr>
                <w:rFonts w:hint="default" w:ascii="宋体" w:hAnsi="宋体"/>
                <w:b w:val="0"/>
                <w:bCs w:val="0"/>
                <w:sz w:val="21"/>
                <w:szCs w:val="21"/>
                <w:lang w:val="en-US" w:eastAsia="zh-CN"/>
              </w:rPr>
              <w:t>段）：“我”有了新住所，米考伯先生渡过难关</w:t>
            </w:r>
            <w:r>
              <w:rPr>
                <w:rFonts w:hint="eastAsia" w:ascii="宋体" w:hAnsi="宋体"/>
                <w:b w:val="0"/>
                <w:bCs w:val="0"/>
                <w:sz w:val="21"/>
                <w:szCs w:val="21"/>
                <w:lang w:val="en-US" w:eastAsia="zh-CN"/>
              </w:rPr>
              <w:t>。</w:t>
            </w:r>
          </w:p>
          <w:p w14:paraId="6D94AEF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第三部分（第54段），抒发“我”的感想，强调一个人的经历和遭遇有助于他本人的成功。</w:t>
            </w:r>
          </w:p>
          <w:p w14:paraId="7B3E660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center"/>
              <w:textAlignment w:val="auto"/>
              <w:rPr>
                <w:rFonts w:hint="default" w:ascii="宋体" w:hAnsi="宋体"/>
                <w:b/>
                <w:bCs/>
                <w:sz w:val="21"/>
                <w:szCs w:val="21"/>
                <w:lang w:val="en-US" w:eastAsia="zh-CN"/>
              </w:rPr>
            </w:pPr>
            <w:r>
              <w:rPr>
                <w:rFonts w:hint="eastAsia" w:ascii="宋体" w:hAnsi="宋体"/>
                <w:b/>
                <w:bCs/>
                <w:sz w:val="21"/>
                <w:szCs w:val="21"/>
                <w:lang w:val="en-US" w:eastAsia="zh-CN"/>
              </w:rPr>
              <w:t>第二课时</w:t>
            </w:r>
          </w:p>
          <w:p w14:paraId="297A69D8">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2" w:firstLineChars="200"/>
              <w:jc w:val="both"/>
              <w:textAlignment w:val="auto"/>
              <w:rPr>
                <w:rFonts w:hint="default" w:ascii="宋体" w:hAnsi="宋体"/>
                <w:b w:val="0"/>
                <w:bCs w:val="0"/>
                <w:sz w:val="21"/>
                <w:szCs w:val="21"/>
                <w:lang w:val="en-US" w:eastAsia="zh-CN"/>
              </w:rPr>
            </w:pPr>
            <w:r>
              <w:rPr>
                <w:rFonts w:hint="eastAsia" w:ascii="宋体" w:hAnsi="宋体"/>
                <w:b/>
                <w:bCs/>
                <w:sz w:val="21"/>
                <w:szCs w:val="21"/>
                <w:lang w:val="en-US" w:eastAsia="zh-CN"/>
              </w:rPr>
              <w:t>一、再读课文，思考探究</w:t>
            </w:r>
          </w:p>
          <w:p w14:paraId="55D3851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1.</w:t>
            </w:r>
            <w:r>
              <w:rPr>
                <w:rFonts w:hint="default" w:ascii="宋体" w:hAnsi="宋体"/>
                <w:b w:val="0"/>
                <w:bCs w:val="0"/>
                <w:sz w:val="21"/>
                <w:szCs w:val="21"/>
                <w:lang w:val="en-US" w:eastAsia="zh-CN"/>
              </w:rPr>
              <w:t>“我”在莫德斯格林拜货行的生活如何？</w:t>
            </w:r>
          </w:p>
          <w:p w14:paraId="0287E14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明确：</w:t>
            </w:r>
            <w:r>
              <w:rPr>
                <w:rFonts w:hint="default" w:ascii="宋体" w:hAnsi="宋体"/>
                <w:b w:val="0"/>
                <w:bCs w:val="0"/>
                <w:sz w:val="21"/>
                <w:szCs w:val="21"/>
                <w:lang w:val="en-US" w:eastAsia="zh-CN"/>
              </w:rPr>
              <w:t>①收入有限，生活困顿。“我”每周只有六七先令的工资，这是“我”全部的生活来源，如果忍不住买了点心铺门口摆着的半价出售的陈糕点，那么午餐就只能买个小面包卷或一小块布丁充饥。</w:t>
            </w:r>
          </w:p>
          <w:p w14:paraId="71102095">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②内心孤独，充满痛苦。在“我”窘困的生活中，“从来没有人给过我任何劝告、建议、鼓励、安慰、帮助和支持”，“我”内心的痛苦无处倾诉，只能千方百计地默默忍受。</w:t>
            </w:r>
          </w:p>
          <w:p w14:paraId="5BCFE52C">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③受到肯定，颇有地位。为不受人轻视和侮辱，“我”总是埋头干活，果然“我”很快变得快捷、熟练，再加之“我”的行为和态度跟其他人有所不同，所以“我在摩德斯通格林拜货行也还有点地位”，其他人总管“我”叫“小先生”或“小萨福克人”。</w:t>
            </w:r>
          </w:p>
          <w:p w14:paraId="7F9FB0E9">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2</w:t>
            </w:r>
            <w:r>
              <w:rPr>
                <w:rFonts w:hint="default" w:ascii="宋体" w:hAnsi="宋体"/>
                <w:b w:val="0"/>
                <w:bCs w:val="0"/>
                <w:sz w:val="21"/>
                <w:szCs w:val="21"/>
                <w:lang w:val="en-US" w:eastAsia="zh-CN"/>
              </w:rPr>
              <w:t>.为什么说星期六晚上，是“我”最高兴的时候？</w:t>
            </w:r>
          </w:p>
          <w:p w14:paraId="670FAF16">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一方面，周六晚上是发放工资的时候，“我”回家时口袋里有六七个先令，路上可以进那些店铺看看，琢磨琢磨这笔钱可以买些什么，也就说，此刻的“我”物质相对富足；另一方面，周六晚上回家比平时早，米考伯太太往往对“我”诉说起最伤心的知心话来，“我”感受到自己是被需要的，是被当做朋友的，也就说，此刻的“我”精神上也是富足的。</w:t>
            </w:r>
          </w:p>
          <w:p w14:paraId="7182A89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2" w:firstLineChars="200"/>
              <w:jc w:val="both"/>
              <w:textAlignment w:val="auto"/>
              <w:rPr>
                <w:rFonts w:hint="default" w:ascii="宋体" w:hAnsi="宋体"/>
                <w:b w:val="0"/>
                <w:bCs w:val="0"/>
                <w:sz w:val="21"/>
                <w:szCs w:val="21"/>
                <w:lang w:val="en-US" w:eastAsia="zh-CN"/>
              </w:rPr>
            </w:pPr>
            <w:r>
              <w:rPr>
                <w:rFonts w:hint="eastAsia" w:ascii="宋体" w:hAnsi="宋体"/>
                <w:b/>
                <w:bCs/>
                <w:sz w:val="21"/>
                <w:szCs w:val="21"/>
                <w:lang w:val="en-US" w:eastAsia="zh-CN"/>
              </w:rPr>
              <w:t>二、分析人物形象</w:t>
            </w:r>
          </w:p>
          <w:p w14:paraId="507AB3B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eastAsia" w:ascii="宋体" w:hAnsi="宋体"/>
                <w:b w:val="0"/>
                <w:bCs w:val="0"/>
                <w:sz w:val="21"/>
                <w:szCs w:val="21"/>
                <w:lang w:val="en-US" w:eastAsia="zh-CN"/>
              </w:rPr>
            </w:pPr>
            <w:r>
              <w:rPr>
                <w:rFonts w:hint="eastAsia" w:ascii="宋体" w:hAnsi="宋体"/>
                <w:b w:val="0"/>
                <w:bCs w:val="0"/>
                <w:sz w:val="21"/>
                <w:szCs w:val="21"/>
                <w:lang w:val="en-US" w:eastAsia="zh-CN"/>
              </w:rPr>
              <w:t>1.米考伯先生</w:t>
            </w:r>
          </w:p>
          <w:p w14:paraId="1363E646">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default" w:ascii="宋体" w:hAnsi="宋体"/>
                <w:b w:val="0"/>
                <w:bCs w:val="0"/>
                <w:sz w:val="21"/>
                <w:szCs w:val="21"/>
                <w:lang w:val="en-US" w:eastAsia="zh-CN"/>
              </w:rPr>
              <w:t>在“我”与米考伯先生的首次见面中，作者是从哪些方面刻画米考伯先生的？突出了他怎样的性格特点？</w:t>
            </w:r>
          </w:p>
          <w:p w14:paraId="0E02D39B">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外貌描写、语言描写、动作描写。</w:t>
            </w:r>
          </w:p>
          <w:p w14:paraId="7D9C74AC">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①外貌描写。“脑袋又大又亮，没有头发，光秃得像个鸡蛋......”“他的衣服破旧，但装了一条颇为神气的衬衣硬领”“他手里拿着一根很有气派的手杖，手杖上系有一双已褪色的大穗子......”，通过对米考伯先生肖像描写，突出了他的滑稽可笑、爱讲排场。</w:t>
            </w:r>
          </w:p>
          <w:p w14:paraId="489DF8BF">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②语言描写。“信里提到，要我把我住家后面的一间空着的屋子拿它出租.....”“米考伯先生又带着先前那种文雅的气派，同时突然再次露出亲密的样子.....”，通过对米考伯先生的语言、神态描写，突出了他的故作文雅。</w:t>
            </w:r>
          </w:p>
          <w:p w14:paraId="60D1C5C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③动作描写。“说着陌生人挥了挥手，把下巴架在了衬衣的硬领上”“于是，他便戴上了帽子，腋下夹着手杖，腰杆笔挺地走出去了，离开账房后，他还哼起了一支曲子”，通过对米考伯先生的动作描写，突出了他装腔作势的迂腐。</w:t>
            </w:r>
          </w:p>
          <w:p w14:paraId="24BC250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小结：米考伯先生是大卫做童工时的房东，后来成了大卫的忘年交，他因无力偿还债务，而几次身陷囹圄。他天生爱慕虚荣，喜好挥霍，不切实际，不肯脚踏实地，他经常负债累累，他就是这样一个不折不扣的乐天派，他还有善良正直的一面。他是“债多不愁，乐天知命”的文学典型。</w:t>
            </w:r>
          </w:p>
          <w:p w14:paraId="6C7259F4">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2.来自济贫院的女仆克莉基特在文中着墨不多，是否可以将这一人物删去，为什么？</w:t>
            </w:r>
          </w:p>
          <w:p w14:paraId="49378B70">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default" w:ascii="宋体" w:hAnsi="宋体"/>
                <w:b w:val="0"/>
                <w:bCs w:val="0"/>
                <w:sz w:val="21"/>
                <w:szCs w:val="21"/>
                <w:lang w:val="en-US" w:eastAsia="zh-CN"/>
              </w:rPr>
            </w:pPr>
            <w:r>
              <w:rPr>
                <w:rFonts w:hint="eastAsia" w:ascii="宋体" w:hAnsi="宋体"/>
                <w:b w:val="0"/>
                <w:bCs w:val="0"/>
                <w:sz w:val="21"/>
                <w:szCs w:val="21"/>
                <w:lang w:val="en-US" w:eastAsia="zh-CN"/>
              </w:rPr>
              <w:t>明确：不能删去。次要人物形象对主要人物形象起到映衬作用。米考伯一家只能雇佣来自济贫院的女仆，可见其经济困难；米考伯太太不愿过分信任克莉基特，认为她会放肆起来，可见其过于谨慎；如此谨慎的米考伯太太却愿意将自己的信任交付给“我”，可见“我”和这家人已经建立起来奇特而平等的友谊。</w:t>
            </w:r>
          </w:p>
          <w:p w14:paraId="050DE48F">
            <w:pPr>
              <w:pStyle w:val="4"/>
              <w:keepNext w:val="0"/>
              <w:keepLines w:val="0"/>
              <w:pageBreakBefore w:val="0"/>
              <w:widowControl w:val="0"/>
              <w:numPr>
                <w:ilvl w:val="0"/>
                <w:numId w:val="1"/>
              </w:numPr>
              <w:kinsoku/>
              <w:wordWrap/>
              <w:overflowPunct/>
              <w:topLinePunct w:val="0"/>
              <w:autoSpaceDE/>
              <w:autoSpaceDN/>
              <w:bidi w:val="0"/>
              <w:adjustRightInd/>
              <w:snapToGrid/>
              <w:spacing w:before="0" w:beforeAutospacing="0" w:after="0" w:afterAutospacing="0" w:line="240" w:lineRule="auto"/>
              <w:ind w:firstLine="422" w:firstLineChars="200"/>
              <w:jc w:val="both"/>
              <w:textAlignment w:val="auto"/>
              <w:rPr>
                <w:rFonts w:hint="eastAsia" w:ascii="宋体" w:hAnsi="宋体"/>
                <w:b/>
                <w:bCs/>
                <w:sz w:val="21"/>
                <w:szCs w:val="21"/>
                <w:lang w:val="en-US" w:eastAsia="zh-CN"/>
              </w:rPr>
            </w:pPr>
            <w:r>
              <w:rPr>
                <w:rFonts w:hint="eastAsia" w:ascii="宋体" w:hAnsi="宋体"/>
                <w:b/>
                <w:bCs/>
                <w:sz w:val="21"/>
                <w:szCs w:val="21"/>
                <w:lang w:val="en-US" w:eastAsia="zh-CN"/>
              </w:rPr>
              <w:t>写作特点</w:t>
            </w:r>
          </w:p>
          <w:p w14:paraId="753BEF38">
            <w:pPr>
              <w:pStyle w:val="4"/>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eastAsia" w:ascii="宋体" w:hAnsi="宋体"/>
                <w:b w:val="0"/>
                <w:bCs w:val="0"/>
                <w:sz w:val="21"/>
                <w:szCs w:val="21"/>
                <w:lang w:val="en-US" w:eastAsia="zh-CN"/>
              </w:rPr>
            </w:pPr>
            <w:r>
              <w:rPr>
                <w:rFonts w:hint="eastAsia" w:ascii="宋体" w:hAnsi="宋体"/>
                <w:b w:val="0"/>
                <w:bCs w:val="0"/>
                <w:sz w:val="21"/>
                <w:szCs w:val="21"/>
                <w:lang w:val="en-US" w:eastAsia="zh-CN"/>
              </w:rPr>
              <w:t>1.以孩子的心理视角向我们展示了一个早已被成年人淡忘的童年世界，写得十分真切感人。</w:t>
            </w:r>
          </w:p>
          <w:p w14:paraId="094B06C8">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eastAsia" w:ascii="宋体" w:hAnsi="宋体"/>
                <w:b w:val="0"/>
                <w:bCs w:val="0"/>
                <w:sz w:val="21"/>
                <w:szCs w:val="21"/>
                <w:lang w:val="en-US" w:eastAsia="zh-CN"/>
              </w:rPr>
            </w:pPr>
            <w:r>
              <w:rPr>
                <w:rFonts w:hint="eastAsia" w:ascii="宋体" w:hAnsi="宋体"/>
                <w:b w:val="0"/>
                <w:bCs w:val="0"/>
                <w:sz w:val="21"/>
                <w:szCs w:val="21"/>
                <w:lang w:val="en-US" w:eastAsia="zh-CN"/>
              </w:rPr>
              <w:t>2.作者善于运用典型的细节表现人物的特征。</w:t>
            </w:r>
          </w:p>
          <w:p w14:paraId="1E74B4EF">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0" w:firstLineChars="200"/>
              <w:jc w:val="both"/>
              <w:textAlignment w:val="auto"/>
              <w:rPr>
                <w:rFonts w:hint="eastAsia" w:ascii="宋体" w:hAnsi="宋体"/>
                <w:b/>
                <w:bCs/>
                <w:sz w:val="21"/>
                <w:szCs w:val="21"/>
                <w:lang w:val="en-US" w:eastAsia="zh-CN"/>
              </w:rPr>
            </w:pPr>
            <w:r>
              <w:rPr>
                <w:rFonts w:hint="eastAsia" w:ascii="宋体" w:hAnsi="宋体"/>
                <w:b w:val="0"/>
                <w:bCs w:val="0"/>
                <w:sz w:val="21"/>
                <w:szCs w:val="21"/>
                <w:lang w:val="en-US" w:eastAsia="zh-CN"/>
              </w:rPr>
              <w:t>3.在着力描写人物善良温情和道德威化的力量的同时，对资产阶级的罪恶和惨无人道的社会制度作了具有感染力的艺术概括。</w:t>
            </w:r>
          </w:p>
          <w:p w14:paraId="12355AAD">
            <w:pPr>
              <w:pStyle w:val="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22" w:firstLineChars="200"/>
              <w:jc w:val="both"/>
              <w:textAlignment w:val="auto"/>
              <w:rPr>
                <w:rFonts w:hint="default" w:ascii="宋体" w:hAnsi="宋体"/>
                <w:b w:val="0"/>
                <w:bCs w:val="0"/>
                <w:sz w:val="21"/>
                <w:szCs w:val="21"/>
                <w:lang w:val="en-US" w:eastAsia="zh-CN"/>
              </w:rPr>
            </w:pPr>
            <w:r>
              <w:rPr>
                <w:rFonts w:hint="eastAsia" w:ascii="宋体" w:hAnsi="宋体"/>
                <w:b/>
                <w:bCs/>
                <w:sz w:val="21"/>
                <w:szCs w:val="21"/>
                <w:lang w:val="en-US" w:eastAsia="zh-CN"/>
              </w:rPr>
              <w:t>四、小结课文</w:t>
            </w:r>
          </w:p>
          <w:p w14:paraId="78B90D0F">
            <w:pPr>
              <w:ind w:firstLine="420" w:firstLineChars="200"/>
              <w:jc w:val="left"/>
              <w:rPr>
                <w:rFonts w:hint="eastAsia" w:ascii="宋体" w:hAnsi="宋体"/>
                <w:b w:val="0"/>
                <w:bCs w:val="0"/>
                <w:szCs w:val="21"/>
                <w:lang w:val="en-US" w:eastAsia="zh-CN"/>
              </w:rPr>
            </w:pPr>
            <w:r>
              <w:rPr>
                <w:rFonts w:hint="eastAsia" w:ascii="宋体" w:hAnsi="宋体"/>
                <w:b w:val="0"/>
                <w:bCs w:val="0"/>
                <w:szCs w:val="21"/>
                <w:lang w:val="en-US" w:eastAsia="zh-CN"/>
              </w:rPr>
              <w:t>小说通过讲述大卫·科波菲尔的悲惨遭遇，揭示了当时人的真实面貌，突出地表现了金钱对婚姻、家庭和社会的腐蚀作用，批判社会中人性的缺失和道德的沦丧，表达了作者对真诚、患难与共、自强不息等优秀品质的肯定和赞扬。</w:t>
            </w:r>
          </w:p>
          <w:p w14:paraId="4EAA6C4C">
            <w:pPr>
              <w:ind w:firstLine="422" w:firstLineChars="200"/>
              <w:jc w:val="left"/>
              <w:rPr>
                <w:rFonts w:hint="eastAsia" w:ascii="宋体" w:hAnsi="宋体"/>
                <w:b/>
                <w:bCs/>
                <w:szCs w:val="21"/>
                <w:lang w:val="en-US" w:eastAsia="zh-CN"/>
              </w:rPr>
            </w:pPr>
            <w:r>
              <w:rPr>
                <w:rFonts w:hint="eastAsia" w:ascii="宋体" w:hAnsi="宋体"/>
                <w:b/>
                <w:bCs/>
                <w:szCs w:val="21"/>
                <w:lang w:val="en-US" w:eastAsia="zh-CN"/>
              </w:rPr>
              <w:t>五、布置作业</w:t>
            </w:r>
          </w:p>
          <w:p w14:paraId="7360D744">
            <w:pPr>
              <w:ind w:firstLine="420" w:firstLineChars="200"/>
              <w:jc w:val="left"/>
              <w:rPr>
                <w:rFonts w:hint="default" w:ascii="宋体" w:hAnsi="宋体"/>
                <w:b w:val="0"/>
                <w:bCs w:val="0"/>
                <w:szCs w:val="21"/>
                <w:lang w:val="en-US" w:eastAsia="zh-CN"/>
              </w:rPr>
            </w:pPr>
            <w:r>
              <w:rPr>
                <w:rFonts w:hint="eastAsia" w:ascii="宋体" w:hAnsi="宋体"/>
                <w:b w:val="0"/>
                <w:bCs w:val="0"/>
                <w:szCs w:val="21"/>
                <w:lang w:val="en-US" w:eastAsia="zh-CN"/>
              </w:rPr>
              <w:t>完成学习用书P91-93</w:t>
            </w:r>
          </w:p>
          <w:p w14:paraId="5C43E50E">
            <w:pPr>
              <w:ind w:firstLine="420" w:firstLineChars="200"/>
              <w:jc w:val="left"/>
              <w:rPr>
                <w:rFonts w:hint="default" w:ascii="宋体" w:hAnsi="宋体"/>
                <w:b w:val="0"/>
                <w:bCs w:val="0"/>
                <w:szCs w:val="21"/>
                <w:lang w:val="en-US" w:eastAsia="zh-CN"/>
              </w:rPr>
            </w:pPr>
          </w:p>
        </w:tc>
      </w:tr>
    </w:tbl>
    <w:p w14:paraId="50873670">
      <w:pPr>
        <w:ind w:right="480"/>
      </w:pPr>
    </w:p>
    <w:sectPr>
      <w:pgSz w:w="11906" w:h="16838"/>
      <w:pgMar w:top="1701" w:right="1418" w:bottom="1701"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E11355"/>
    <w:multiLevelType w:val="singleLevel"/>
    <w:tmpl w:val="DAE1135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0OTkyZTZlNjExYjAwOWI0Mzg1ODY4MTI1OTQzNGEifQ=="/>
  </w:docVars>
  <w:rsids>
    <w:rsidRoot w:val="000F45D0"/>
    <w:rsid w:val="00002E81"/>
    <w:rsid w:val="00013EBF"/>
    <w:rsid w:val="000537CA"/>
    <w:rsid w:val="00084BE2"/>
    <w:rsid w:val="000A289D"/>
    <w:rsid w:val="000F2ADE"/>
    <w:rsid w:val="000F45D0"/>
    <w:rsid w:val="00102268"/>
    <w:rsid w:val="002217D7"/>
    <w:rsid w:val="00231657"/>
    <w:rsid w:val="00295297"/>
    <w:rsid w:val="002E1C76"/>
    <w:rsid w:val="003A4319"/>
    <w:rsid w:val="0047265F"/>
    <w:rsid w:val="004E38EB"/>
    <w:rsid w:val="00510A93"/>
    <w:rsid w:val="006C51CC"/>
    <w:rsid w:val="00702504"/>
    <w:rsid w:val="00725ABA"/>
    <w:rsid w:val="007A0F86"/>
    <w:rsid w:val="007E5013"/>
    <w:rsid w:val="00802D49"/>
    <w:rsid w:val="00830ADB"/>
    <w:rsid w:val="008D53D5"/>
    <w:rsid w:val="008F227B"/>
    <w:rsid w:val="00A00EC7"/>
    <w:rsid w:val="00A20E1D"/>
    <w:rsid w:val="00A63DDB"/>
    <w:rsid w:val="00AF062B"/>
    <w:rsid w:val="00B46460"/>
    <w:rsid w:val="00BA7AA3"/>
    <w:rsid w:val="00BC6DAE"/>
    <w:rsid w:val="00D56DAA"/>
    <w:rsid w:val="00D848E0"/>
    <w:rsid w:val="00DF3AC7"/>
    <w:rsid w:val="00E323EB"/>
    <w:rsid w:val="00EC1319"/>
    <w:rsid w:val="00EC5918"/>
    <w:rsid w:val="00ED4D32"/>
    <w:rsid w:val="00F91DA3"/>
    <w:rsid w:val="00FA5743"/>
    <w:rsid w:val="011171D9"/>
    <w:rsid w:val="03AD5615"/>
    <w:rsid w:val="04B34B43"/>
    <w:rsid w:val="052D4238"/>
    <w:rsid w:val="06622973"/>
    <w:rsid w:val="0E7658F0"/>
    <w:rsid w:val="0EE9548D"/>
    <w:rsid w:val="0F7F6343"/>
    <w:rsid w:val="11AC7198"/>
    <w:rsid w:val="15130D62"/>
    <w:rsid w:val="151C212F"/>
    <w:rsid w:val="16D90A2F"/>
    <w:rsid w:val="181B0BD3"/>
    <w:rsid w:val="1B196C01"/>
    <w:rsid w:val="1D682B0D"/>
    <w:rsid w:val="201A5DBA"/>
    <w:rsid w:val="227635D6"/>
    <w:rsid w:val="23DA1943"/>
    <w:rsid w:val="244F2331"/>
    <w:rsid w:val="28DE3AD5"/>
    <w:rsid w:val="295D104C"/>
    <w:rsid w:val="2C185794"/>
    <w:rsid w:val="2C9109E6"/>
    <w:rsid w:val="2D986AF6"/>
    <w:rsid w:val="30B67293"/>
    <w:rsid w:val="327E1CB8"/>
    <w:rsid w:val="36405AB6"/>
    <w:rsid w:val="37D64BA7"/>
    <w:rsid w:val="3A322808"/>
    <w:rsid w:val="3B0B37EF"/>
    <w:rsid w:val="3B1948E2"/>
    <w:rsid w:val="3EE447C2"/>
    <w:rsid w:val="40442B0E"/>
    <w:rsid w:val="40CF0629"/>
    <w:rsid w:val="429A1953"/>
    <w:rsid w:val="43064505"/>
    <w:rsid w:val="47DD7F0C"/>
    <w:rsid w:val="488F71F2"/>
    <w:rsid w:val="49167DAD"/>
    <w:rsid w:val="498E0956"/>
    <w:rsid w:val="4AE747C1"/>
    <w:rsid w:val="4BDB2578"/>
    <w:rsid w:val="4C59349D"/>
    <w:rsid w:val="4CF04A45"/>
    <w:rsid w:val="4D812CAB"/>
    <w:rsid w:val="4ED63703"/>
    <w:rsid w:val="514B5B15"/>
    <w:rsid w:val="52C3270D"/>
    <w:rsid w:val="53B46D62"/>
    <w:rsid w:val="54903206"/>
    <w:rsid w:val="54CA318A"/>
    <w:rsid w:val="59145F35"/>
    <w:rsid w:val="5FC609F2"/>
    <w:rsid w:val="60FC03D4"/>
    <w:rsid w:val="636C7B02"/>
    <w:rsid w:val="65726C29"/>
    <w:rsid w:val="671F55B7"/>
    <w:rsid w:val="6B794260"/>
    <w:rsid w:val="6CDC1854"/>
    <w:rsid w:val="7665047C"/>
    <w:rsid w:val="79172B8D"/>
    <w:rsid w:val="79C97604"/>
    <w:rsid w:val="79F613D6"/>
    <w:rsid w:val="7C7C44B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spacing w:before="100" w:beforeAutospacing="1" w:after="100" w:afterAutospacing="1"/>
    </w:pPr>
  </w:style>
  <w:style w:type="paragraph" w:styleId="5">
    <w:name w:val="Title"/>
    <w:basedOn w:val="1"/>
    <w:next w:val="1"/>
    <w:qFormat/>
    <w:uiPriority w:val="10"/>
    <w:pPr>
      <w:spacing w:before="240" w:after="60"/>
      <w:jc w:val="center"/>
      <w:outlineLvl w:val="0"/>
    </w:pPr>
    <w:rPr>
      <w:rFonts w:ascii="等线 Light" w:hAnsi="等线 Light" w:eastAsia="等线 Light" w:cs="Times New Roman"/>
      <w:b/>
      <w:bCs/>
      <w:sz w:val="32"/>
      <w:szCs w:val="32"/>
    </w:rPr>
  </w:style>
  <w:style w:type="character" w:styleId="8">
    <w:name w:val="Strong"/>
    <w:basedOn w:val="7"/>
    <w:qFormat/>
    <w:uiPriority w:val="22"/>
    <w:rPr>
      <w:b/>
    </w:rPr>
  </w:style>
  <w:style w:type="character" w:styleId="9">
    <w:name w:val="Hyperlink"/>
    <w:basedOn w:val="7"/>
    <w:semiHidden/>
    <w:unhideWhenUsed/>
    <w:qFormat/>
    <w:uiPriority w:val="99"/>
    <w:rPr>
      <w:color w:val="0000FF"/>
      <w:u w:val="single"/>
    </w:rPr>
  </w:style>
  <w:style w:type="character" w:customStyle="1" w:styleId="10">
    <w:name w:val="页脚 Char"/>
    <w:link w:val="2"/>
    <w:qFormat/>
    <w:uiPriority w:val="99"/>
    <w:rPr>
      <w:kern w:val="2"/>
      <w:sz w:val="18"/>
      <w:szCs w:val="18"/>
    </w:rPr>
  </w:style>
  <w:style w:type="character" w:customStyle="1" w:styleId="11">
    <w:name w:val="页眉 Char"/>
    <w:link w:val="3"/>
    <w:qFormat/>
    <w:uiPriority w:val="99"/>
    <w:rPr>
      <w:kern w:val="2"/>
      <w:sz w:val="18"/>
      <w:szCs w:val="18"/>
    </w:rPr>
  </w:style>
  <w:style w:type="paragraph" w:customStyle="1" w:styleId="12">
    <w:name w:val="Char Char Char Char Char Char Char Char Char Char Char Char Char Char Char Char Char Char Char"/>
    <w:basedOn w:val="1"/>
    <w:qFormat/>
    <w:uiPriority w:val="0"/>
    <w:pPr>
      <w:widowControl/>
      <w:spacing w:line="300" w:lineRule="auto"/>
      <w:ind w:firstLine="200" w:firstLineChars="200"/>
    </w:pPr>
  </w:style>
  <w:style w:type="paragraph" w:customStyle="1" w:styleId="13">
    <w:name w:val="Table Paragraph"/>
    <w:basedOn w:val="1"/>
    <w:qFormat/>
    <w:uiPriority w:val="1"/>
    <w:pPr>
      <w:ind w:left="107"/>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jyzjzx</Company>
  <Pages>3</Pages>
  <Words>2675</Words>
  <Characters>2760</Characters>
  <Lines>99</Lines>
  <Paragraphs>28</Paragraphs>
  <TotalTime>15</TotalTime>
  <ScaleCrop>false</ScaleCrop>
  <LinksUpToDate>false</LinksUpToDate>
  <CharactersWithSpaces>2765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2019-09-06T01:24:00Z</dcterms:created>
  <dc:creator>jwc-1</dc:creator>
  <cp:lastModifiedBy>喜喜</cp:lastModifiedBy>
  <dcterms:modified xsi:type="dcterms:W3CDTF">2025-06-09T06:50:52Z</dcterms:modified>
  <dc:title>江苏省江阴职业技术教育中心校</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BE49A03FD4484878B0FF8387C6B8A7AE_13</vt:lpwstr>
  </property>
  <property fmtid="{D5CDD505-2E9C-101B-9397-08002B2CF9AE}" pid="4" name="KSOTemplateDocerSaveRecord">
    <vt:lpwstr>eyJoZGlkIjoiYmQ0OTkyZTZlNjExYjAwOWI0Mzg1ODY4MTI1OTQzNGEiLCJ1c2VySWQiOiI2NDgwMjMzMDQifQ==</vt:lpwstr>
  </property>
</Properties>
</file>