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F1614" w14:textId="77777777" w:rsidR="006355C6" w:rsidRPr="00364AFC" w:rsidRDefault="00000000">
      <w:pPr>
        <w:widowControl/>
        <w:jc w:val="center"/>
        <w:rPr>
          <w:rFonts w:asciiTheme="minorEastAsia" w:eastAsiaTheme="minorEastAsia" w:hAnsiTheme="minorEastAsia" w:cs="宋体" w:hint="eastAsia"/>
          <w:b/>
          <w:bCs/>
          <w:color w:val="1A2029"/>
          <w:kern w:val="0"/>
          <w:sz w:val="36"/>
          <w:szCs w:val="36"/>
          <w:shd w:val="clear" w:color="auto" w:fill="FFFFFF"/>
          <w:lang w:bidi="ar"/>
        </w:rPr>
      </w:pPr>
      <w:r w:rsidRPr="00364AFC">
        <w:rPr>
          <w:rFonts w:ascii="宋体" w:hAnsi="宋体" w:cs="宋体" w:hint="eastAsia"/>
          <w:b/>
          <w:bCs/>
          <w:color w:val="1A2029"/>
          <w:kern w:val="0"/>
          <w:sz w:val="36"/>
          <w:szCs w:val="36"/>
          <w:shd w:val="clear" w:color="auto" w:fill="FFFFFF"/>
          <w:lang w:bidi="ar"/>
        </w:rPr>
        <w:t>生</w:t>
      </w:r>
      <w:r w:rsidRPr="00364AFC">
        <w:rPr>
          <w:rFonts w:asciiTheme="minorEastAsia" w:eastAsiaTheme="minorEastAsia" w:hAnsiTheme="minorEastAsia" w:cs="宋体" w:hint="eastAsia"/>
          <w:b/>
          <w:bCs/>
          <w:color w:val="1A2029"/>
          <w:kern w:val="0"/>
          <w:sz w:val="36"/>
          <w:szCs w:val="36"/>
          <w:shd w:val="clear" w:color="auto" w:fill="FFFFFF"/>
          <w:lang w:bidi="ar"/>
        </w:rPr>
        <w:t>活</w:t>
      </w:r>
      <w:r w:rsidRPr="00364AFC">
        <w:rPr>
          <w:rFonts w:asciiTheme="minorEastAsia" w:eastAsiaTheme="minorEastAsia" w:hAnsiTheme="minorEastAsia"/>
          <w:b/>
          <w:bCs/>
          <w:color w:val="1A2029"/>
          <w:kern w:val="0"/>
          <w:sz w:val="36"/>
          <w:szCs w:val="36"/>
          <w:shd w:val="clear" w:color="auto" w:fill="FFFFFF"/>
          <w:lang w:bidi="ar"/>
        </w:rPr>
        <w:t>.</w:t>
      </w:r>
      <w:r w:rsidRPr="00364AFC">
        <w:rPr>
          <w:rFonts w:asciiTheme="minorEastAsia" w:eastAsiaTheme="minorEastAsia" w:hAnsiTheme="minorEastAsia" w:cs="宋体" w:hint="eastAsia"/>
          <w:b/>
          <w:bCs/>
          <w:color w:val="1A2029"/>
          <w:kern w:val="0"/>
          <w:sz w:val="36"/>
          <w:szCs w:val="36"/>
          <w:shd w:val="clear" w:color="auto" w:fill="FFFFFF"/>
          <w:lang w:bidi="ar"/>
        </w:rPr>
        <w:t>体验</w:t>
      </w:r>
      <w:r w:rsidRPr="00364AFC">
        <w:rPr>
          <w:rFonts w:asciiTheme="minorEastAsia" w:eastAsiaTheme="minorEastAsia" w:hAnsiTheme="minorEastAsia"/>
          <w:b/>
          <w:bCs/>
          <w:color w:val="1A2029"/>
          <w:kern w:val="0"/>
          <w:sz w:val="36"/>
          <w:szCs w:val="36"/>
          <w:shd w:val="clear" w:color="auto" w:fill="FFFFFF"/>
          <w:lang w:bidi="ar"/>
        </w:rPr>
        <w:t>.</w:t>
      </w:r>
      <w:r w:rsidRPr="00364AFC">
        <w:rPr>
          <w:rFonts w:asciiTheme="minorEastAsia" w:eastAsiaTheme="minorEastAsia" w:hAnsiTheme="minorEastAsia" w:cs="宋体" w:hint="eastAsia"/>
          <w:b/>
          <w:bCs/>
          <w:color w:val="1A2029"/>
          <w:kern w:val="0"/>
          <w:sz w:val="36"/>
          <w:szCs w:val="36"/>
          <w:shd w:val="clear" w:color="auto" w:fill="FFFFFF"/>
          <w:lang w:bidi="ar"/>
        </w:rPr>
        <w:t>成长：新生活教育理念下中职语文体验式教学新探</w:t>
      </w:r>
    </w:p>
    <w:p w14:paraId="4C4ED0E3" w14:textId="77777777" w:rsidR="006355C6" w:rsidRDefault="00000000">
      <w:pPr>
        <w:snapToGrid w:val="0"/>
        <w:spacing w:line="400" w:lineRule="exact"/>
        <w:rPr>
          <w:rFonts w:ascii="楷体" w:eastAsia="楷体" w:hAnsi="楷体" w:cs="楷体"/>
          <w:b/>
          <w:bCs/>
          <w:sz w:val="24"/>
        </w:rPr>
      </w:pPr>
      <w:r>
        <w:rPr>
          <w:rFonts w:ascii="楷体" w:eastAsia="楷体" w:hAnsi="楷体" w:cs="楷体" w:hint="eastAsia"/>
          <w:b/>
          <w:bCs/>
          <w:sz w:val="24"/>
        </w:rPr>
        <w:t>摘要：</w:t>
      </w:r>
      <w:r>
        <w:rPr>
          <w:rFonts w:ascii="楷体" w:eastAsia="楷体" w:hAnsi="楷体" w:cs="楷体" w:hint="eastAsia"/>
          <w:sz w:val="24"/>
        </w:rPr>
        <w:t>新生活教育视域下的中职语文体验式阅读教学研究，通过实施体验式阅读教学活动和设计教学流程，能够有效提升学生的语文素养和核心素养。通过亲历实践、深度反思、理论提炼、实证检验、交流分享和认知重构等环节，学生能够获得丰富的学习体验，深化对文本的理解，培养创新思维和综合能力。同时，通过角色扮演、情境创设、互动对话、读写结合和信息技术的应用，教师可以更有效地激发学生的学习兴趣，促进学生的全面发展。</w:t>
      </w:r>
    </w:p>
    <w:p w14:paraId="06B06338" w14:textId="77777777" w:rsidR="006355C6" w:rsidRDefault="00000000">
      <w:pPr>
        <w:snapToGrid w:val="0"/>
        <w:spacing w:afterLines="50" w:after="156" w:line="400" w:lineRule="exact"/>
        <w:rPr>
          <w:rFonts w:ascii="楷体" w:eastAsia="楷体" w:hAnsi="楷体" w:cs="楷体"/>
          <w:b/>
          <w:bCs/>
          <w:sz w:val="24"/>
        </w:rPr>
      </w:pPr>
      <w:r>
        <w:rPr>
          <w:rFonts w:ascii="楷体" w:eastAsia="楷体" w:hAnsi="楷体" w:cs="楷体" w:hint="eastAsia"/>
          <w:b/>
          <w:bCs/>
          <w:sz w:val="24"/>
        </w:rPr>
        <w:t>关键词：</w:t>
      </w:r>
      <w:r>
        <w:rPr>
          <w:rFonts w:ascii="楷体" w:eastAsia="楷体" w:hAnsi="楷体" w:cs="楷体" w:hint="eastAsia"/>
          <w:sz w:val="24"/>
        </w:rPr>
        <w:t>新生活教育；体验式；语文阅读教育</w:t>
      </w:r>
    </w:p>
    <w:p w14:paraId="37DB0B26" w14:textId="77777777" w:rsidR="006355C6" w:rsidRPr="00364AFC" w:rsidRDefault="00000000" w:rsidP="00364AFC">
      <w:pPr>
        <w:snapToGrid w:val="0"/>
        <w:spacing w:line="520" w:lineRule="exact"/>
        <w:ind w:firstLineChars="200" w:firstLine="600"/>
        <w:rPr>
          <w:rFonts w:ascii="仿宋" w:eastAsia="仿宋" w:hAnsi="仿宋" w:cs="楷体"/>
          <w:b/>
          <w:bCs/>
          <w:sz w:val="30"/>
          <w:szCs w:val="30"/>
        </w:rPr>
      </w:pPr>
      <w:r w:rsidRPr="00364AFC">
        <w:rPr>
          <w:rFonts w:ascii="仿宋" w:eastAsia="仿宋" w:hAnsi="仿宋" w:cs="宋体" w:hint="eastAsia"/>
          <w:sz w:val="30"/>
          <w:szCs w:val="30"/>
        </w:rPr>
        <w:t>中职</w:t>
      </w:r>
      <w:r w:rsidRPr="00364AFC">
        <w:rPr>
          <w:rFonts w:ascii="仿宋" w:eastAsia="仿宋" w:hAnsi="仿宋" w:cs="宋体"/>
          <w:sz w:val="30"/>
          <w:szCs w:val="30"/>
        </w:rPr>
        <w:t>语文阅读教学承担着培养学生语言运用能力、审美情感和人文素养的重要任务。然而，随着教育的标准化和应试教育的强化，</w:t>
      </w:r>
      <w:r w:rsidRPr="00364AFC">
        <w:rPr>
          <w:rFonts w:ascii="仿宋" w:eastAsia="仿宋" w:hAnsi="仿宋" w:cs="宋体" w:hint="eastAsia"/>
          <w:sz w:val="30"/>
          <w:szCs w:val="30"/>
        </w:rPr>
        <w:t>中职</w:t>
      </w:r>
      <w:r w:rsidRPr="00364AFC">
        <w:rPr>
          <w:rFonts w:ascii="仿宋" w:eastAsia="仿宋" w:hAnsi="仿宋" w:cs="宋体"/>
          <w:sz w:val="30"/>
          <w:szCs w:val="30"/>
        </w:rPr>
        <w:t>语文阅读教学面临着一系列挑战和问题。如何在新时代背景下，重新审视和改进</w:t>
      </w:r>
      <w:r w:rsidRPr="00364AFC">
        <w:rPr>
          <w:rFonts w:ascii="仿宋" w:eastAsia="仿宋" w:hAnsi="仿宋" w:cs="宋体" w:hint="eastAsia"/>
          <w:sz w:val="30"/>
          <w:szCs w:val="30"/>
        </w:rPr>
        <w:t>中职</w:t>
      </w:r>
      <w:r w:rsidRPr="00364AFC">
        <w:rPr>
          <w:rFonts w:ascii="仿宋" w:eastAsia="仿宋" w:hAnsi="仿宋" w:cs="宋体"/>
          <w:sz w:val="30"/>
          <w:szCs w:val="30"/>
        </w:rPr>
        <w:t>语文阅读教学，使之更加贴近学生的生活实际，激发学生的主动学习兴趣，培养学生的创新思维和批判精神，成为</w:t>
      </w:r>
      <w:r w:rsidRPr="00364AFC">
        <w:rPr>
          <w:rFonts w:ascii="仿宋" w:eastAsia="仿宋" w:hAnsi="仿宋" w:cs="宋体" w:hint="eastAsia"/>
          <w:sz w:val="30"/>
          <w:szCs w:val="30"/>
        </w:rPr>
        <w:t>语文教学</w:t>
      </w:r>
      <w:r w:rsidRPr="00364AFC">
        <w:rPr>
          <w:rFonts w:ascii="仿宋" w:eastAsia="仿宋" w:hAnsi="仿宋" w:cs="宋体"/>
          <w:sz w:val="30"/>
          <w:szCs w:val="30"/>
        </w:rPr>
        <w:t>亟待解决的问题。</w:t>
      </w:r>
    </w:p>
    <w:p w14:paraId="6947864C" w14:textId="77777777" w:rsidR="006355C6" w:rsidRPr="00364AFC" w:rsidRDefault="00000000" w:rsidP="00364AFC">
      <w:pPr>
        <w:snapToGrid w:val="0"/>
        <w:spacing w:line="520" w:lineRule="exact"/>
        <w:ind w:firstLineChars="200" w:firstLine="602"/>
        <w:rPr>
          <w:rFonts w:ascii="仿宋" w:eastAsia="仿宋" w:hAnsi="仿宋" w:cs="黑体" w:hint="eastAsia"/>
          <w:b/>
          <w:bCs/>
          <w:sz w:val="30"/>
          <w:szCs w:val="30"/>
        </w:rPr>
      </w:pPr>
      <w:r w:rsidRPr="00364AFC">
        <w:rPr>
          <w:rFonts w:ascii="仿宋" w:eastAsia="仿宋" w:hAnsi="仿宋" w:cs="黑体" w:hint="eastAsia"/>
          <w:b/>
          <w:bCs/>
          <w:sz w:val="30"/>
          <w:szCs w:val="30"/>
        </w:rPr>
        <w:t>一、中职语文阅读教学现状诊断</w:t>
      </w:r>
    </w:p>
    <w:p w14:paraId="77F7F51C" w14:textId="77777777" w:rsidR="006355C6" w:rsidRPr="00364AFC" w:rsidRDefault="00000000" w:rsidP="00364AFC">
      <w:pPr>
        <w:snapToGrid w:val="0"/>
        <w:spacing w:line="520" w:lineRule="exact"/>
        <w:ind w:firstLineChars="200" w:firstLine="602"/>
        <w:rPr>
          <w:rFonts w:ascii="仿宋" w:eastAsia="仿宋" w:hAnsi="仿宋" w:cs="楷体"/>
          <w:b/>
          <w:bCs/>
          <w:sz w:val="30"/>
          <w:szCs w:val="30"/>
        </w:rPr>
      </w:pPr>
      <w:r w:rsidRPr="00364AFC">
        <w:rPr>
          <w:rFonts w:ascii="仿宋" w:eastAsia="仿宋" w:hAnsi="仿宋" w:cs="楷体" w:hint="eastAsia"/>
          <w:b/>
          <w:bCs/>
          <w:sz w:val="30"/>
          <w:szCs w:val="30"/>
        </w:rPr>
        <w:t>（一）“标准化知识”的统治：生活与实践的脱节</w:t>
      </w:r>
    </w:p>
    <w:p w14:paraId="7E833BC3" w14:textId="77777777" w:rsidR="006355C6" w:rsidRPr="00364AFC" w:rsidRDefault="00000000" w:rsidP="00364AFC">
      <w:pPr>
        <w:snapToGrid w:val="0"/>
        <w:spacing w:line="520" w:lineRule="exact"/>
        <w:ind w:firstLineChars="200" w:firstLine="600"/>
        <w:rPr>
          <w:rFonts w:ascii="仿宋" w:eastAsia="仿宋" w:hAnsi="仿宋" w:cs="宋体" w:hint="eastAsia"/>
          <w:sz w:val="30"/>
          <w:szCs w:val="30"/>
        </w:rPr>
      </w:pPr>
      <w:r w:rsidRPr="00364AFC">
        <w:rPr>
          <w:rFonts w:ascii="仿宋" w:eastAsia="仿宋" w:hAnsi="仿宋" w:cs="宋体"/>
          <w:sz w:val="30"/>
          <w:szCs w:val="30"/>
        </w:rPr>
        <w:t>“标准化知识”是一种从人类对世界的整体认识中提炼并经过精心筛选、分类、抽象和系统化处理的知识体系。它是从多彩的生活世界中提取的精华，</w:t>
      </w:r>
      <w:r w:rsidRPr="00364AFC">
        <w:rPr>
          <w:rFonts w:ascii="仿宋" w:eastAsia="仿宋" w:hAnsi="仿宋" w:cs="宋体" w:hint="eastAsia"/>
          <w:sz w:val="30"/>
          <w:szCs w:val="30"/>
        </w:rPr>
        <w:t>但</w:t>
      </w:r>
      <w:r w:rsidRPr="00364AFC">
        <w:rPr>
          <w:rFonts w:ascii="仿宋" w:eastAsia="仿宋" w:hAnsi="仿宋" w:cs="宋体"/>
          <w:sz w:val="30"/>
          <w:szCs w:val="30"/>
        </w:rPr>
        <w:t>随着这种知识体系的不断完善，其与实际生活的联系却逐渐减弱。</w:t>
      </w:r>
      <w:r w:rsidRPr="00364AFC">
        <w:rPr>
          <w:rFonts w:ascii="仿宋" w:eastAsia="仿宋" w:hAnsi="仿宋" w:cs="宋体" w:hint="eastAsia"/>
          <w:sz w:val="30"/>
          <w:szCs w:val="30"/>
        </w:rPr>
        <w:t>当下</w:t>
      </w:r>
      <w:r w:rsidRPr="00364AFC">
        <w:rPr>
          <w:rFonts w:ascii="仿宋" w:eastAsia="仿宋" w:hAnsi="仿宋" w:cs="宋体"/>
          <w:sz w:val="30"/>
          <w:szCs w:val="30"/>
        </w:rPr>
        <w:t>学科的教学仍然以“标准化知识”为核心。这种做法导致学生与真实生活的脱节，学习变得局限于科学世界的框架内，失去了生活的丰富性。对于语文教学而言，融入“经验知识”能更好地体现“语文</w:t>
      </w:r>
      <w:r w:rsidRPr="00364AFC">
        <w:rPr>
          <w:rFonts w:ascii="仿宋" w:eastAsia="仿宋" w:hAnsi="仿宋" w:cs="宋体" w:hint="eastAsia"/>
          <w:sz w:val="30"/>
          <w:szCs w:val="30"/>
        </w:rPr>
        <w:t>的外延即生活</w:t>
      </w:r>
      <w:r w:rsidRPr="00364AFC">
        <w:rPr>
          <w:rFonts w:ascii="仿宋" w:eastAsia="仿宋" w:hAnsi="仿宋" w:cs="宋体"/>
          <w:sz w:val="30"/>
          <w:szCs w:val="30"/>
        </w:rPr>
        <w:t>”的理念。</w:t>
      </w:r>
    </w:p>
    <w:p w14:paraId="0B98AD24" w14:textId="77777777" w:rsidR="006355C6" w:rsidRPr="00364AFC" w:rsidRDefault="00000000" w:rsidP="00364AFC">
      <w:pPr>
        <w:numPr>
          <w:ilvl w:val="0"/>
          <w:numId w:val="1"/>
        </w:numPr>
        <w:snapToGrid w:val="0"/>
        <w:spacing w:line="520" w:lineRule="exact"/>
        <w:ind w:firstLineChars="200" w:firstLine="602"/>
        <w:rPr>
          <w:rFonts w:ascii="仿宋" w:eastAsia="仿宋" w:hAnsi="仿宋" w:cs="楷体"/>
          <w:b/>
          <w:bCs/>
          <w:sz w:val="30"/>
          <w:szCs w:val="30"/>
        </w:rPr>
      </w:pPr>
      <w:r w:rsidRPr="00364AFC">
        <w:rPr>
          <w:rFonts w:ascii="仿宋" w:eastAsia="仿宋" w:hAnsi="仿宋" w:cs="楷体" w:hint="eastAsia"/>
          <w:b/>
          <w:bCs/>
          <w:sz w:val="30"/>
          <w:szCs w:val="30"/>
        </w:rPr>
        <w:t>“验证式学习”的局限：思维发展与批判精神的缺失</w:t>
      </w:r>
    </w:p>
    <w:p w14:paraId="7B36F6F2" w14:textId="77777777" w:rsidR="006355C6" w:rsidRPr="00364AFC" w:rsidRDefault="00000000" w:rsidP="00364AFC">
      <w:pPr>
        <w:snapToGrid w:val="0"/>
        <w:spacing w:line="520" w:lineRule="exact"/>
        <w:ind w:firstLineChars="200" w:firstLine="600"/>
        <w:rPr>
          <w:rFonts w:ascii="仿宋" w:eastAsia="仿宋" w:hAnsi="仿宋" w:cs="宋体" w:hint="eastAsia"/>
          <w:sz w:val="30"/>
          <w:szCs w:val="30"/>
        </w:rPr>
      </w:pPr>
      <w:r w:rsidRPr="00364AFC">
        <w:rPr>
          <w:rFonts w:ascii="仿宋" w:eastAsia="仿宋" w:hAnsi="仿宋" w:cs="宋体"/>
          <w:sz w:val="30"/>
          <w:szCs w:val="30"/>
        </w:rPr>
        <w:t>尽管“建构主义”学习理念被广泛认同，但在实际教学中，</w:t>
      </w:r>
      <w:r w:rsidRPr="00364AFC">
        <w:rPr>
          <w:rFonts w:ascii="仿宋" w:eastAsia="仿宋" w:hAnsi="仿宋" w:cs="宋体"/>
          <w:sz w:val="30"/>
          <w:szCs w:val="30"/>
        </w:rPr>
        <w:lastRenderedPageBreak/>
        <w:t>教师往往采用灌输式教学，让学生去验证既定知识。这种“</w:t>
      </w:r>
      <w:r w:rsidRPr="00364AFC">
        <w:rPr>
          <w:rFonts w:ascii="仿宋" w:eastAsia="仿宋" w:hAnsi="仿宋" w:cs="宋体" w:hint="eastAsia"/>
          <w:sz w:val="30"/>
          <w:szCs w:val="30"/>
        </w:rPr>
        <w:t>验证式</w:t>
      </w:r>
      <w:r w:rsidRPr="00364AFC">
        <w:rPr>
          <w:rFonts w:ascii="仿宋" w:eastAsia="仿宋" w:hAnsi="仿宋" w:cs="宋体"/>
          <w:sz w:val="30"/>
          <w:szCs w:val="30"/>
        </w:rPr>
        <w:t>学习”限制了学生的思维发展，学生习惯于被动接受知识，教师则扮演了知识传递者的角色，这不利于学生的人格发展和独立批判精神的培养。在语文学习中，学生入学前已具备一定的口语表达能力，如果继续用验证和演绎的方式学习母语，则与语文学习的本质相悖。</w:t>
      </w:r>
    </w:p>
    <w:p w14:paraId="06AC9CF3" w14:textId="77777777" w:rsidR="006355C6" w:rsidRPr="00364AFC" w:rsidRDefault="00000000" w:rsidP="00364AFC">
      <w:pPr>
        <w:numPr>
          <w:ilvl w:val="0"/>
          <w:numId w:val="1"/>
        </w:numPr>
        <w:snapToGrid w:val="0"/>
        <w:spacing w:line="520" w:lineRule="exact"/>
        <w:ind w:firstLineChars="200" w:firstLine="602"/>
        <w:rPr>
          <w:rFonts w:ascii="仿宋" w:eastAsia="仿宋" w:hAnsi="仿宋" w:cs="楷体"/>
          <w:b/>
          <w:bCs/>
          <w:sz w:val="30"/>
          <w:szCs w:val="30"/>
        </w:rPr>
      </w:pPr>
      <w:r w:rsidRPr="00364AFC">
        <w:rPr>
          <w:rFonts w:ascii="仿宋" w:eastAsia="仿宋" w:hAnsi="仿宋" w:cs="楷体" w:hint="eastAsia"/>
          <w:b/>
          <w:bCs/>
          <w:sz w:val="30"/>
          <w:szCs w:val="30"/>
        </w:rPr>
        <w:t>学生主体性的忽视：课堂教学活动的形式化倾向</w:t>
      </w:r>
    </w:p>
    <w:p w14:paraId="270DD3A5" w14:textId="77777777" w:rsidR="006355C6" w:rsidRPr="00364AFC" w:rsidRDefault="00000000" w:rsidP="00364AFC">
      <w:pPr>
        <w:snapToGrid w:val="0"/>
        <w:spacing w:line="520" w:lineRule="exact"/>
        <w:ind w:leftChars="200" w:left="420" w:firstLine="200"/>
        <w:rPr>
          <w:rFonts w:ascii="仿宋" w:eastAsia="仿宋" w:hAnsi="仿宋" w:cs="宋体" w:hint="eastAsia"/>
          <w:sz w:val="30"/>
          <w:szCs w:val="30"/>
        </w:rPr>
      </w:pPr>
      <w:r w:rsidRPr="00364AFC">
        <w:rPr>
          <w:rFonts w:ascii="仿宋" w:eastAsia="仿宋" w:hAnsi="仿宋" w:cs="宋体" w:hint="eastAsia"/>
          <w:sz w:val="30"/>
          <w:szCs w:val="30"/>
        </w:rPr>
        <w:t>在如火如荼的教学改革中，有许多学校将开展多样化的教学活动视为教育改</w:t>
      </w:r>
    </w:p>
    <w:p w14:paraId="587D31B7" w14:textId="77777777" w:rsidR="006355C6" w:rsidRPr="00364AFC" w:rsidRDefault="00000000" w:rsidP="00364AFC">
      <w:pPr>
        <w:snapToGrid w:val="0"/>
        <w:spacing w:line="520" w:lineRule="exact"/>
        <w:ind w:firstLine="200"/>
        <w:rPr>
          <w:rFonts w:ascii="仿宋" w:eastAsia="仿宋" w:hAnsi="仿宋" w:cs="黑体" w:hint="eastAsia"/>
          <w:b/>
          <w:bCs/>
          <w:sz w:val="30"/>
          <w:szCs w:val="30"/>
        </w:rPr>
      </w:pPr>
      <w:r w:rsidRPr="00364AFC">
        <w:rPr>
          <w:rFonts w:ascii="仿宋" w:eastAsia="仿宋" w:hAnsi="仿宋" w:cs="宋体" w:hint="eastAsia"/>
          <w:sz w:val="30"/>
          <w:szCs w:val="30"/>
        </w:rPr>
        <w:t>革的具体举措，但部分活动</w:t>
      </w:r>
      <w:proofErr w:type="gramStart"/>
      <w:r w:rsidRPr="00364AFC">
        <w:rPr>
          <w:rFonts w:ascii="仿宋" w:eastAsia="仿宋" w:hAnsi="仿宋" w:cs="宋体" w:hint="eastAsia"/>
          <w:sz w:val="30"/>
          <w:szCs w:val="30"/>
        </w:rPr>
        <w:t>仅关注</w:t>
      </w:r>
      <w:proofErr w:type="gramEnd"/>
      <w:r w:rsidRPr="00364AFC">
        <w:rPr>
          <w:rFonts w:ascii="仿宋" w:eastAsia="仿宋" w:hAnsi="仿宋" w:cs="宋体" w:hint="eastAsia"/>
          <w:sz w:val="30"/>
          <w:szCs w:val="30"/>
        </w:rPr>
        <w:t>外在行为而忽略深层反思，活动与学习的融合并不充分，因此学生的思维模式和学习策略并未发生实质性的转变，主体地位并未得到充分的展现。</w:t>
      </w:r>
    </w:p>
    <w:p w14:paraId="55E90BFA" w14:textId="77777777" w:rsidR="006355C6" w:rsidRPr="00364AFC" w:rsidRDefault="00000000" w:rsidP="00364AFC">
      <w:pPr>
        <w:numPr>
          <w:ilvl w:val="0"/>
          <w:numId w:val="2"/>
        </w:numPr>
        <w:snapToGrid w:val="0"/>
        <w:spacing w:line="520" w:lineRule="exact"/>
        <w:ind w:firstLineChars="200" w:firstLine="602"/>
        <w:rPr>
          <w:rFonts w:ascii="仿宋" w:eastAsia="仿宋" w:hAnsi="仿宋" w:cs="黑体" w:hint="eastAsia"/>
          <w:b/>
          <w:bCs/>
          <w:sz w:val="30"/>
          <w:szCs w:val="30"/>
        </w:rPr>
      </w:pPr>
      <w:r w:rsidRPr="00364AFC">
        <w:rPr>
          <w:rFonts w:ascii="仿宋" w:eastAsia="仿宋" w:hAnsi="仿宋" w:cs="黑体" w:hint="eastAsia"/>
          <w:b/>
          <w:bCs/>
          <w:sz w:val="30"/>
          <w:szCs w:val="30"/>
        </w:rPr>
        <w:t>新生活教育视域下体验式阅读教学的内涵</w:t>
      </w:r>
    </w:p>
    <w:p w14:paraId="687D4F22" w14:textId="77777777" w:rsidR="006355C6" w:rsidRPr="00364AFC" w:rsidRDefault="00000000" w:rsidP="00364AFC">
      <w:pPr>
        <w:spacing w:line="520" w:lineRule="exact"/>
        <w:ind w:firstLineChars="200" w:firstLine="600"/>
        <w:rPr>
          <w:rFonts w:ascii="仿宋" w:eastAsia="仿宋" w:hAnsi="仿宋" w:hint="eastAsia"/>
          <w:color w:val="000000"/>
          <w:sz w:val="30"/>
          <w:szCs w:val="30"/>
        </w:rPr>
      </w:pPr>
      <w:r w:rsidRPr="00364AFC">
        <w:rPr>
          <w:rFonts w:ascii="仿宋" w:eastAsia="仿宋" w:hAnsi="仿宋" w:hint="eastAsia"/>
          <w:color w:val="000000"/>
          <w:sz w:val="30"/>
          <w:szCs w:val="30"/>
        </w:rPr>
        <w:t>新生活教育理念为语文教学注入了新的活力，它强调教育与生活的紧密联系，倡导学生在真实的生活情境中学习和成长。体验式阅读教学，作为新生活教育理念在中职语文教学中的生动实践，致力于通过构建与学生生活经验紧密相连的教学情境，让学生在亲身实践和主动探索中深化知识理解、发展各项能力，并在此过程中培养学生的创新意识和批判性思维。以下是对新生活教育、语文体验式阅读教学以及新生活教育视域下的中职语文体验式阅读教学三个核心概念的深入阐释。</w:t>
      </w:r>
    </w:p>
    <w:p w14:paraId="2A51B8F9" w14:textId="77777777" w:rsidR="006355C6" w:rsidRPr="00364AFC" w:rsidRDefault="00000000" w:rsidP="00364AFC">
      <w:pPr>
        <w:snapToGrid w:val="0"/>
        <w:spacing w:line="520" w:lineRule="exact"/>
        <w:ind w:firstLineChars="200" w:firstLine="602"/>
        <w:rPr>
          <w:rFonts w:ascii="仿宋" w:eastAsia="仿宋" w:hAnsi="仿宋" w:cs="楷体"/>
          <w:b/>
          <w:bCs/>
          <w:sz w:val="30"/>
          <w:szCs w:val="30"/>
        </w:rPr>
      </w:pPr>
      <w:r w:rsidRPr="00364AFC">
        <w:rPr>
          <w:rFonts w:ascii="仿宋" w:eastAsia="仿宋" w:hAnsi="仿宋" w:cs="楷体" w:hint="eastAsia"/>
          <w:b/>
          <w:bCs/>
          <w:sz w:val="30"/>
          <w:szCs w:val="30"/>
        </w:rPr>
        <w:t>（一）新生活教育</w:t>
      </w:r>
    </w:p>
    <w:p w14:paraId="1C31F855" w14:textId="77777777" w:rsidR="006355C6" w:rsidRPr="00364AFC" w:rsidRDefault="00000000" w:rsidP="00364AFC">
      <w:pPr>
        <w:spacing w:line="520" w:lineRule="exact"/>
        <w:ind w:firstLineChars="200" w:firstLine="600"/>
        <w:rPr>
          <w:rFonts w:ascii="仿宋" w:eastAsia="仿宋" w:hAnsi="仿宋" w:hint="eastAsia"/>
          <w:color w:val="000000"/>
          <w:sz w:val="30"/>
          <w:szCs w:val="30"/>
        </w:rPr>
      </w:pPr>
      <w:r w:rsidRPr="00364AFC">
        <w:rPr>
          <w:rFonts w:ascii="仿宋" w:eastAsia="仿宋" w:hAnsi="仿宋" w:hint="eastAsia"/>
          <w:color w:val="000000"/>
          <w:sz w:val="30"/>
          <w:szCs w:val="30"/>
        </w:rPr>
        <w:t>生活教育是我国著名教育家陶行知先生所倡导的教育方式，其核心思想是“生活即教育”、“教学做合一”和“社会即学校”。新生活教育则是对这一理念的当代化探索，它强调理解人、尊重人、发展人的人文教育；立足生活、服务生活的生活教育；尊重</w:t>
      </w:r>
      <w:r w:rsidRPr="00364AFC">
        <w:rPr>
          <w:rFonts w:ascii="仿宋" w:eastAsia="仿宋" w:hAnsi="仿宋" w:hint="eastAsia"/>
          <w:color w:val="000000"/>
          <w:sz w:val="30"/>
          <w:szCs w:val="30"/>
        </w:rPr>
        <w:lastRenderedPageBreak/>
        <w:t>历史、扎根现实、引领未来的创新教育；以及立足社会、融合社会、建设社会的社会教育。新生活教育具有社会性、智能性和创新性的特征，旨在通过创造新教育、构建新生活，重构教育与生活的内在联系，打破生活与教育的隔阂，探索教育回归生活本质的趋势，</w:t>
      </w:r>
      <w:proofErr w:type="gramStart"/>
      <w:r w:rsidRPr="00364AFC">
        <w:rPr>
          <w:rFonts w:ascii="仿宋" w:eastAsia="仿宋" w:hAnsi="仿宋" w:hint="eastAsia"/>
          <w:color w:val="000000"/>
          <w:sz w:val="30"/>
          <w:szCs w:val="30"/>
        </w:rPr>
        <w:t>践行</w:t>
      </w:r>
      <w:proofErr w:type="gramEnd"/>
      <w:r w:rsidRPr="00364AFC">
        <w:rPr>
          <w:rFonts w:ascii="仿宋" w:eastAsia="仿宋" w:hAnsi="仿宋" w:hint="eastAsia"/>
          <w:color w:val="000000"/>
          <w:sz w:val="30"/>
          <w:szCs w:val="30"/>
        </w:rPr>
        <w:t>生活育人的理念。在新时代背景下，新生活教育致力于培养具有人文底蕴、责任担当、创新素养、健全人格、丰富个性和全面发展的社会主义建设者和接班人。</w:t>
      </w:r>
    </w:p>
    <w:p w14:paraId="4410A07B" w14:textId="77777777" w:rsidR="006355C6" w:rsidRPr="00364AFC" w:rsidRDefault="00000000" w:rsidP="00364AFC">
      <w:pPr>
        <w:snapToGrid w:val="0"/>
        <w:spacing w:line="520" w:lineRule="exact"/>
        <w:ind w:firstLineChars="200" w:firstLine="602"/>
        <w:rPr>
          <w:rFonts w:ascii="仿宋" w:eastAsia="仿宋" w:hAnsi="仿宋" w:cs="楷体"/>
          <w:b/>
          <w:bCs/>
          <w:sz w:val="30"/>
          <w:szCs w:val="30"/>
        </w:rPr>
      </w:pPr>
      <w:r w:rsidRPr="00364AFC">
        <w:rPr>
          <w:rFonts w:ascii="仿宋" w:eastAsia="仿宋" w:hAnsi="仿宋" w:cs="楷体" w:hint="eastAsia"/>
          <w:b/>
          <w:bCs/>
          <w:sz w:val="30"/>
          <w:szCs w:val="30"/>
        </w:rPr>
        <w:t>（二）语文体验式阅读教学</w:t>
      </w:r>
    </w:p>
    <w:p w14:paraId="4CE97316" w14:textId="77777777" w:rsidR="006355C6" w:rsidRPr="00364AFC" w:rsidRDefault="00000000" w:rsidP="00364AFC">
      <w:pPr>
        <w:spacing w:line="520" w:lineRule="exact"/>
        <w:ind w:firstLineChars="200" w:firstLine="600"/>
        <w:rPr>
          <w:rFonts w:ascii="仿宋" w:eastAsia="仿宋" w:hAnsi="仿宋" w:hint="eastAsia"/>
          <w:color w:val="000000"/>
          <w:sz w:val="30"/>
          <w:szCs w:val="30"/>
        </w:rPr>
      </w:pPr>
      <w:r w:rsidRPr="00364AFC">
        <w:rPr>
          <w:rFonts w:ascii="仿宋" w:eastAsia="仿宋" w:hAnsi="仿宋" w:hint="eastAsia"/>
          <w:color w:val="000000"/>
          <w:sz w:val="30"/>
          <w:szCs w:val="30"/>
        </w:rPr>
        <w:t>语文体验式阅读教学是一种以学生体验为核心的教学形式。在教学过程中，教师根据学生的认知特点和规律，积极构建多种语用情境，呈现或再现文本内容，引导学生主动探究。学生在亲历的过程中，获得独特的审美体验，从而提高语文素养。本文中的“语文体验式阅读教学”是指教师运用恰当的方式，引导学生在积极思维和情感活动中体验文本，通过师生、生生、生本的全新对话，理解和建构知识，发展能力，并获得独特的感受和经验。这种教学形式具有个性化、开放性、生成性的特点，并注重生命意义的探求。</w:t>
      </w:r>
    </w:p>
    <w:p w14:paraId="32F0FC1E" w14:textId="77777777" w:rsidR="006355C6" w:rsidRPr="00364AFC" w:rsidRDefault="00000000" w:rsidP="00364AFC">
      <w:pPr>
        <w:snapToGrid w:val="0"/>
        <w:spacing w:line="520" w:lineRule="exact"/>
        <w:ind w:firstLineChars="200" w:firstLine="602"/>
        <w:rPr>
          <w:rFonts w:ascii="仿宋" w:eastAsia="仿宋" w:hAnsi="仿宋" w:cs="楷体"/>
          <w:b/>
          <w:bCs/>
          <w:sz w:val="30"/>
          <w:szCs w:val="30"/>
        </w:rPr>
      </w:pPr>
      <w:r w:rsidRPr="00364AFC">
        <w:rPr>
          <w:rFonts w:ascii="仿宋" w:eastAsia="仿宋" w:hAnsi="仿宋" w:cs="楷体" w:hint="eastAsia"/>
          <w:b/>
          <w:bCs/>
          <w:sz w:val="30"/>
          <w:szCs w:val="30"/>
        </w:rPr>
        <w:t>（三）新生活教育视域下中职语文体验式阅读教学</w:t>
      </w:r>
    </w:p>
    <w:p w14:paraId="6204DEAB" w14:textId="77777777" w:rsidR="006355C6" w:rsidRPr="00364AFC" w:rsidRDefault="00000000" w:rsidP="00364AFC">
      <w:pPr>
        <w:spacing w:line="520" w:lineRule="exact"/>
        <w:ind w:firstLineChars="200" w:firstLine="600"/>
        <w:rPr>
          <w:rFonts w:ascii="仿宋" w:eastAsia="仿宋" w:hAnsi="仿宋" w:hint="eastAsia"/>
          <w:color w:val="000000"/>
          <w:sz w:val="30"/>
          <w:szCs w:val="30"/>
        </w:rPr>
      </w:pPr>
      <w:r w:rsidRPr="00364AFC">
        <w:rPr>
          <w:rFonts w:ascii="仿宋" w:eastAsia="仿宋" w:hAnsi="仿宋" w:hint="eastAsia"/>
          <w:color w:val="000000"/>
          <w:sz w:val="30"/>
          <w:szCs w:val="30"/>
        </w:rPr>
        <w:t>在新生活教育视域下，中职语文体验式阅读教学注重语文与生活的紧密联系。以学生为主体，以一切能够引发学生感受的媒介为道具，通过创设或模拟与生活相关的情境，开发真实而有价值的任务。在这一过程中，学生的生命意识被唤醒，创造潜能得到开发。学生在沉浸、体验、感悟、反思和迁移的过程中，体验语言的魅力，提高鉴赏能力，生成思考张力，激发生命潜力。这种教学方式使阅读教学更加丰富和深刻，创新了语文课程的教学方式，优化了教学评价。同时，它也吸引学生关注生活，让语文</w:t>
      </w:r>
      <w:r w:rsidRPr="00364AFC">
        <w:rPr>
          <w:rFonts w:ascii="仿宋" w:eastAsia="仿宋" w:hAnsi="仿宋" w:hint="eastAsia"/>
          <w:color w:val="000000"/>
          <w:sz w:val="30"/>
          <w:szCs w:val="30"/>
        </w:rPr>
        <w:lastRenderedPageBreak/>
        <w:t>教学回归生活，帮助学生在生活中学会认知、学会学习，促进学生的全面和谐发展。</w:t>
      </w:r>
    </w:p>
    <w:p w14:paraId="6FDF22CE" w14:textId="77777777" w:rsidR="006355C6" w:rsidRPr="00364AFC" w:rsidRDefault="00000000" w:rsidP="00364AFC">
      <w:pPr>
        <w:snapToGrid w:val="0"/>
        <w:spacing w:line="520" w:lineRule="exact"/>
        <w:ind w:firstLineChars="200" w:firstLine="602"/>
        <w:rPr>
          <w:rFonts w:ascii="仿宋" w:eastAsia="仿宋" w:hAnsi="仿宋" w:cs="黑体" w:hint="eastAsia"/>
          <w:b/>
          <w:bCs/>
          <w:sz w:val="30"/>
          <w:szCs w:val="30"/>
        </w:rPr>
      </w:pPr>
      <w:r w:rsidRPr="00364AFC">
        <w:rPr>
          <w:rFonts w:ascii="仿宋" w:eastAsia="仿宋" w:hAnsi="仿宋" w:cs="黑体" w:hint="eastAsia"/>
          <w:b/>
          <w:bCs/>
          <w:sz w:val="30"/>
          <w:szCs w:val="30"/>
        </w:rPr>
        <w:t>三、新生活教育视域下体验式阅读教学的实施流程</w:t>
      </w:r>
    </w:p>
    <w:p w14:paraId="5E472D20" w14:textId="77777777" w:rsidR="006355C6" w:rsidRPr="00364AFC" w:rsidRDefault="00000000" w:rsidP="00364AFC">
      <w:pPr>
        <w:widowControl/>
        <w:spacing w:line="520" w:lineRule="exact"/>
        <w:ind w:firstLineChars="200" w:firstLine="576"/>
        <w:textAlignment w:val="baseline"/>
        <w:rPr>
          <w:rFonts w:ascii="仿宋" w:eastAsia="仿宋" w:hAnsi="仿宋" w:cs="宋体" w:hint="eastAsia"/>
          <w:spacing w:val="-6"/>
          <w:sz w:val="30"/>
          <w:szCs w:val="30"/>
        </w:rPr>
      </w:pPr>
      <w:r w:rsidRPr="00364AFC">
        <w:rPr>
          <w:rFonts w:ascii="仿宋" w:eastAsia="仿宋" w:hAnsi="仿宋" w:cs="宋体" w:hint="eastAsia"/>
          <w:spacing w:val="-6"/>
          <w:sz w:val="30"/>
          <w:szCs w:val="30"/>
        </w:rPr>
        <w:t>体验式阅读教学活动的核心架构包括：亲历实践—深度反思—理论提炼—实证检验，而在班级集体学习的环境中，资源共享、思维碰撞及学习成就的共享互动是其特色。因此，在学校教育的体验式教学流程中，还融入了交流与重构两大环节，具体阐释如下：</w:t>
      </w:r>
    </w:p>
    <w:p w14:paraId="6B9AFADD" w14:textId="77777777" w:rsidR="006355C6" w:rsidRPr="00364AFC" w:rsidRDefault="00000000" w:rsidP="00364AFC">
      <w:pPr>
        <w:widowControl/>
        <w:spacing w:line="520" w:lineRule="exact"/>
        <w:ind w:firstLineChars="200" w:firstLine="576"/>
        <w:rPr>
          <w:rFonts w:ascii="仿宋" w:eastAsia="仿宋" w:hAnsi="仿宋" w:cs="宋体" w:hint="eastAsia"/>
          <w:spacing w:val="-6"/>
          <w:sz w:val="30"/>
          <w:szCs w:val="30"/>
        </w:rPr>
      </w:pPr>
      <w:r w:rsidRPr="00364AFC">
        <w:rPr>
          <w:rFonts w:ascii="仿宋" w:eastAsia="仿宋" w:hAnsi="仿宋" w:cs="宋体" w:hint="eastAsia"/>
          <w:spacing w:val="-6"/>
          <w:sz w:val="30"/>
          <w:szCs w:val="30"/>
        </w:rPr>
        <w:t>①亲历实践：这一环节强调学生的直接参与和动手实践，是独立探索的学习过程。通过构建贴近生活的学习场景，使学生在模拟环境中产生情感共鸣，获得第一手学习体验。</w:t>
      </w:r>
    </w:p>
    <w:p w14:paraId="3396F31C" w14:textId="77777777" w:rsidR="006355C6" w:rsidRPr="00364AFC" w:rsidRDefault="00000000" w:rsidP="00364AFC">
      <w:pPr>
        <w:widowControl/>
        <w:spacing w:line="520" w:lineRule="exact"/>
        <w:ind w:firstLineChars="200" w:firstLine="576"/>
        <w:rPr>
          <w:rFonts w:ascii="仿宋" w:eastAsia="仿宋" w:hAnsi="仿宋" w:cs="宋体" w:hint="eastAsia"/>
          <w:spacing w:val="-6"/>
          <w:sz w:val="30"/>
          <w:szCs w:val="30"/>
        </w:rPr>
      </w:pPr>
      <w:r w:rsidRPr="00364AFC">
        <w:rPr>
          <w:rFonts w:ascii="仿宋" w:eastAsia="仿宋" w:hAnsi="仿宋" w:cs="宋体" w:hint="eastAsia"/>
          <w:spacing w:val="-6"/>
          <w:sz w:val="30"/>
          <w:szCs w:val="30"/>
        </w:rPr>
        <w:t>②深度反思：学生回顾实践经历，自我审视在知识应用和策略选择上的得与失，通过内省来明确个人优势与不足，这是深化学习体验、提炼价值的关键步骤。</w:t>
      </w:r>
    </w:p>
    <w:p w14:paraId="40F958B5" w14:textId="77777777" w:rsidR="006355C6" w:rsidRPr="00364AFC" w:rsidRDefault="00000000" w:rsidP="00364AFC">
      <w:pPr>
        <w:widowControl/>
        <w:spacing w:line="520" w:lineRule="exact"/>
        <w:ind w:firstLineChars="200" w:firstLine="576"/>
        <w:rPr>
          <w:rFonts w:ascii="仿宋" w:eastAsia="仿宋" w:hAnsi="仿宋" w:cs="宋体" w:hint="eastAsia"/>
          <w:spacing w:val="-6"/>
          <w:sz w:val="30"/>
          <w:szCs w:val="30"/>
        </w:rPr>
      </w:pPr>
      <w:r w:rsidRPr="00364AFC">
        <w:rPr>
          <w:rFonts w:ascii="仿宋" w:eastAsia="仿宋" w:hAnsi="仿宋" w:cs="宋体" w:hint="eastAsia"/>
          <w:spacing w:val="-6"/>
          <w:sz w:val="30"/>
          <w:szCs w:val="30"/>
        </w:rPr>
        <w:t>③理论提炼：学生从具体实践中抽象出理论性认识，构建知识体系，总结学习心得。抽象思维能力的高低，是衡量学生学习成效的重要指标。</w:t>
      </w:r>
    </w:p>
    <w:p w14:paraId="38CCE1EF" w14:textId="77777777" w:rsidR="006355C6" w:rsidRPr="00364AFC" w:rsidRDefault="00000000" w:rsidP="00364AFC">
      <w:pPr>
        <w:widowControl/>
        <w:spacing w:line="520" w:lineRule="exact"/>
        <w:ind w:firstLineChars="200" w:firstLine="576"/>
        <w:rPr>
          <w:rFonts w:ascii="仿宋" w:eastAsia="仿宋" w:hAnsi="仿宋" w:cs="宋体" w:hint="eastAsia"/>
          <w:spacing w:val="-6"/>
          <w:sz w:val="30"/>
          <w:szCs w:val="30"/>
        </w:rPr>
      </w:pPr>
      <w:r w:rsidRPr="00364AFC">
        <w:rPr>
          <w:rFonts w:ascii="仿宋" w:eastAsia="仿宋" w:hAnsi="仿宋" w:cs="宋体" w:hint="eastAsia"/>
          <w:spacing w:val="-6"/>
          <w:sz w:val="30"/>
          <w:szCs w:val="30"/>
        </w:rPr>
        <w:t>④实证检验：通过自我评估，验证学习过程中知识和经验的吸收情况，以及这些知识和经验的准确性，并确认其是否能有效融入现有的知识体系。</w:t>
      </w:r>
    </w:p>
    <w:p w14:paraId="270460EC" w14:textId="77777777" w:rsidR="006355C6" w:rsidRPr="00364AFC" w:rsidRDefault="00000000" w:rsidP="00364AFC">
      <w:pPr>
        <w:widowControl/>
        <w:spacing w:line="520" w:lineRule="exact"/>
        <w:ind w:firstLineChars="200" w:firstLine="576"/>
        <w:rPr>
          <w:rFonts w:ascii="仿宋" w:eastAsia="仿宋" w:hAnsi="仿宋" w:cs="宋体" w:hint="eastAsia"/>
          <w:spacing w:val="-6"/>
          <w:sz w:val="30"/>
          <w:szCs w:val="30"/>
        </w:rPr>
      </w:pPr>
      <w:r w:rsidRPr="00364AFC">
        <w:rPr>
          <w:rFonts w:ascii="仿宋" w:eastAsia="仿宋" w:hAnsi="仿宋" w:cs="宋体" w:hint="eastAsia"/>
          <w:spacing w:val="-6"/>
          <w:sz w:val="30"/>
          <w:szCs w:val="30"/>
        </w:rPr>
        <w:t>⑤交流分享：学生展示个人的学习历程和成果，交流思考路径和学习策略，这不仅彰显了学生的个性与差异，也促进了集体学习能力的共同提升。</w:t>
      </w:r>
    </w:p>
    <w:p w14:paraId="6E070211" w14:textId="77777777" w:rsidR="006355C6" w:rsidRPr="00364AFC" w:rsidRDefault="00000000" w:rsidP="00364AFC">
      <w:pPr>
        <w:widowControl/>
        <w:spacing w:line="520" w:lineRule="exact"/>
        <w:ind w:firstLineChars="200" w:firstLine="576"/>
        <w:rPr>
          <w:rFonts w:ascii="仿宋" w:eastAsia="仿宋" w:hAnsi="仿宋" w:cs="宋体" w:hint="eastAsia"/>
          <w:spacing w:val="-6"/>
          <w:sz w:val="30"/>
          <w:szCs w:val="30"/>
        </w:rPr>
      </w:pPr>
      <w:r w:rsidRPr="00364AFC">
        <w:rPr>
          <w:rFonts w:ascii="仿宋" w:eastAsia="仿宋" w:hAnsi="仿宋" w:cs="宋体" w:hint="eastAsia"/>
          <w:spacing w:val="-6"/>
          <w:sz w:val="30"/>
          <w:szCs w:val="30"/>
        </w:rPr>
        <w:t>⑥认知重构：吸收借鉴他人的实践经验和见解，融合多样思维方式和学习策略，对既有学习成果、知识体系、认知框架和学习经历进行修正和完善，建构新的知识。</w:t>
      </w:r>
    </w:p>
    <w:p w14:paraId="2DC13F05" w14:textId="77777777" w:rsidR="007E0BDC" w:rsidRDefault="007E0BDC">
      <w:pPr>
        <w:widowControl/>
        <w:spacing w:line="400" w:lineRule="exact"/>
        <w:jc w:val="left"/>
        <w:textAlignment w:val="baseline"/>
        <w:rPr>
          <w:rFonts w:ascii="宋体" w:hAnsi="宋体" w:cs="宋体"/>
          <w:color w:val="C71C31"/>
          <w:spacing w:val="-6"/>
          <w:sz w:val="24"/>
          <w:highlight w:val="cyan"/>
        </w:rPr>
      </w:pPr>
    </w:p>
    <w:p w14:paraId="0BB3FA19" w14:textId="77777777" w:rsidR="007E0BDC" w:rsidRDefault="007E0BDC">
      <w:pPr>
        <w:widowControl/>
        <w:spacing w:line="400" w:lineRule="exact"/>
        <w:jc w:val="left"/>
        <w:textAlignment w:val="baseline"/>
        <w:rPr>
          <w:rFonts w:ascii="宋体" w:hAnsi="宋体" w:cs="宋体"/>
          <w:color w:val="C71C31"/>
          <w:spacing w:val="-6"/>
          <w:sz w:val="24"/>
          <w:highlight w:val="cyan"/>
        </w:rPr>
      </w:pPr>
    </w:p>
    <w:p w14:paraId="1DE73931" w14:textId="699B73BD" w:rsidR="006355C6" w:rsidRDefault="00000000">
      <w:pPr>
        <w:widowControl/>
        <w:spacing w:line="400" w:lineRule="exact"/>
        <w:jc w:val="left"/>
        <w:textAlignment w:val="baseline"/>
        <w:rPr>
          <w:rFonts w:ascii="宋体" w:hAnsi="宋体" w:cs="宋体" w:hint="eastAsia"/>
          <w:color w:val="C71C31"/>
          <w:spacing w:val="-6"/>
          <w:sz w:val="24"/>
          <w:highlight w:val="cyan"/>
        </w:rPr>
      </w:pPr>
      <w:r>
        <w:rPr>
          <w:rFonts w:ascii="宋体" w:hAnsi="宋体" w:cs="宋体" w:hint="eastAsia"/>
          <w:noProof/>
          <w:color w:val="C71C31"/>
          <w:spacing w:val="-6"/>
          <w:sz w:val="24"/>
          <w:highlight w:val="cyan"/>
        </w:rPr>
        <w:lastRenderedPageBreak/>
        <w:drawing>
          <wp:anchor distT="0" distB="0" distL="114300" distR="114300" simplePos="0" relativeHeight="251659264" behindDoc="0" locked="0" layoutInCell="1" allowOverlap="1" wp14:anchorId="4FEA9782" wp14:editId="4DFEC194">
            <wp:simplePos x="0" y="0"/>
            <wp:positionH relativeFrom="column">
              <wp:posOffset>626669</wp:posOffset>
            </wp:positionH>
            <wp:positionV relativeFrom="paragraph">
              <wp:posOffset>39070</wp:posOffset>
            </wp:positionV>
            <wp:extent cx="3955415" cy="1905000"/>
            <wp:effectExtent l="0" t="38100" r="0" b="57150"/>
            <wp:wrapNone/>
            <wp:docPr id="1" name="图示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anchor>
        </w:drawing>
      </w:r>
    </w:p>
    <w:p w14:paraId="4A89DFBF" w14:textId="77777777" w:rsidR="006355C6" w:rsidRDefault="006355C6">
      <w:pPr>
        <w:widowControl/>
        <w:spacing w:line="400" w:lineRule="exact"/>
        <w:ind w:left="-363" w:firstLineChars="300" w:firstLine="684"/>
        <w:jc w:val="left"/>
        <w:textAlignment w:val="baseline"/>
        <w:rPr>
          <w:rFonts w:ascii="宋体" w:hAnsi="宋体" w:cs="宋体" w:hint="eastAsia"/>
          <w:color w:val="C71C31"/>
          <w:spacing w:val="-6"/>
          <w:sz w:val="24"/>
          <w:highlight w:val="cyan"/>
        </w:rPr>
      </w:pPr>
    </w:p>
    <w:p w14:paraId="26597F26" w14:textId="77777777" w:rsidR="006355C6" w:rsidRDefault="006355C6">
      <w:pPr>
        <w:widowControl/>
        <w:spacing w:line="400" w:lineRule="exact"/>
        <w:ind w:left="-363" w:firstLineChars="300" w:firstLine="684"/>
        <w:jc w:val="left"/>
        <w:textAlignment w:val="baseline"/>
        <w:rPr>
          <w:rFonts w:ascii="宋体" w:hAnsi="宋体" w:cs="宋体" w:hint="eastAsia"/>
          <w:color w:val="C71C31"/>
          <w:spacing w:val="-6"/>
          <w:sz w:val="24"/>
          <w:highlight w:val="cyan"/>
        </w:rPr>
      </w:pPr>
    </w:p>
    <w:p w14:paraId="526FA9B3" w14:textId="77777777" w:rsidR="006355C6" w:rsidRDefault="006355C6">
      <w:pPr>
        <w:widowControl/>
        <w:spacing w:line="400" w:lineRule="exact"/>
        <w:ind w:left="-363" w:firstLineChars="300" w:firstLine="684"/>
        <w:jc w:val="left"/>
        <w:textAlignment w:val="baseline"/>
        <w:rPr>
          <w:rFonts w:ascii="宋体" w:hAnsi="宋体" w:cs="宋体" w:hint="eastAsia"/>
          <w:color w:val="C71C31"/>
          <w:spacing w:val="-6"/>
          <w:sz w:val="24"/>
          <w:highlight w:val="cyan"/>
        </w:rPr>
      </w:pPr>
    </w:p>
    <w:p w14:paraId="20CE0A27" w14:textId="77777777" w:rsidR="006355C6" w:rsidRDefault="006355C6">
      <w:pPr>
        <w:widowControl/>
        <w:spacing w:line="400" w:lineRule="exact"/>
        <w:ind w:left="-363" w:firstLineChars="300" w:firstLine="684"/>
        <w:jc w:val="left"/>
        <w:textAlignment w:val="baseline"/>
        <w:rPr>
          <w:rFonts w:ascii="宋体" w:hAnsi="宋体" w:cs="宋体" w:hint="eastAsia"/>
          <w:color w:val="C71C31"/>
          <w:spacing w:val="-6"/>
          <w:sz w:val="24"/>
          <w:highlight w:val="cyan"/>
        </w:rPr>
      </w:pPr>
    </w:p>
    <w:p w14:paraId="1B6830A5" w14:textId="77777777" w:rsidR="006355C6" w:rsidRDefault="006355C6">
      <w:pPr>
        <w:widowControl/>
        <w:spacing w:line="400" w:lineRule="exact"/>
        <w:ind w:left="-363" w:firstLineChars="300" w:firstLine="684"/>
        <w:jc w:val="left"/>
        <w:textAlignment w:val="baseline"/>
        <w:rPr>
          <w:rFonts w:ascii="宋体" w:hAnsi="宋体" w:cs="宋体" w:hint="eastAsia"/>
          <w:color w:val="C71C31"/>
          <w:spacing w:val="-6"/>
          <w:sz w:val="24"/>
          <w:highlight w:val="cyan"/>
        </w:rPr>
      </w:pPr>
    </w:p>
    <w:p w14:paraId="071EDF72" w14:textId="77777777" w:rsidR="006355C6" w:rsidRDefault="006355C6">
      <w:pPr>
        <w:widowControl/>
        <w:spacing w:line="400" w:lineRule="exact"/>
        <w:ind w:left="-363" w:firstLineChars="300" w:firstLine="684"/>
        <w:jc w:val="left"/>
        <w:textAlignment w:val="baseline"/>
        <w:rPr>
          <w:rFonts w:ascii="宋体" w:hAnsi="宋体" w:cs="宋体" w:hint="eastAsia"/>
          <w:color w:val="C71C31"/>
          <w:spacing w:val="-6"/>
          <w:sz w:val="24"/>
          <w:highlight w:val="cyan"/>
        </w:rPr>
      </w:pPr>
    </w:p>
    <w:p w14:paraId="466EC00D" w14:textId="77777777" w:rsidR="006355C6" w:rsidRDefault="006355C6">
      <w:pPr>
        <w:widowControl/>
        <w:spacing w:line="400" w:lineRule="exact"/>
        <w:jc w:val="left"/>
        <w:textAlignment w:val="baseline"/>
        <w:rPr>
          <w:rFonts w:ascii="宋体" w:hAnsi="宋体" w:cs="宋体" w:hint="eastAsia"/>
          <w:color w:val="C71C31"/>
          <w:spacing w:val="-6"/>
          <w:sz w:val="24"/>
          <w:highlight w:val="cyan"/>
        </w:rPr>
      </w:pPr>
    </w:p>
    <w:p w14:paraId="21CA8FF0" w14:textId="77777777" w:rsidR="006355C6" w:rsidRDefault="00000000">
      <w:pPr>
        <w:widowControl/>
        <w:spacing w:line="400" w:lineRule="exact"/>
        <w:ind w:left="-363" w:firstLineChars="300" w:firstLine="684"/>
        <w:jc w:val="center"/>
        <w:textAlignment w:val="baseline"/>
        <w:rPr>
          <w:rFonts w:ascii="楷体" w:eastAsia="楷体" w:hAnsi="楷体" w:cs="楷体"/>
          <w:spacing w:val="-6"/>
          <w:sz w:val="24"/>
        </w:rPr>
      </w:pPr>
      <w:r>
        <w:rPr>
          <w:rFonts w:ascii="楷体" w:eastAsia="楷体" w:hAnsi="楷体" w:cs="楷体" w:hint="eastAsia"/>
          <w:spacing w:val="-6"/>
          <w:sz w:val="24"/>
        </w:rPr>
        <w:t>图：体验式阅读教学活动的教学流程</w:t>
      </w:r>
    </w:p>
    <w:p w14:paraId="73009C29" w14:textId="77777777" w:rsidR="006355C6" w:rsidRPr="00364AFC" w:rsidRDefault="00000000" w:rsidP="00364AFC">
      <w:pPr>
        <w:snapToGrid w:val="0"/>
        <w:spacing w:line="520" w:lineRule="exact"/>
        <w:ind w:firstLineChars="200" w:firstLine="602"/>
        <w:rPr>
          <w:rFonts w:ascii="仿宋" w:eastAsia="仿宋" w:hAnsi="仿宋" w:cs="黑体" w:hint="eastAsia"/>
          <w:b/>
          <w:bCs/>
          <w:sz w:val="30"/>
          <w:szCs w:val="30"/>
        </w:rPr>
      </w:pPr>
      <w:r w:rsidRPr="00364AFC">
        <w:rPr>
          <w:rFonts w:ascii="仿宋" w:eastAsia="仿宋" w:hAnsi="仿宋" w:cs="黑体" w:hint="eastAsia"/>
          <w:b/>
          <w:bCs/>
          <w:sz w:val="30"/>
          <w:szCs w:val="30"/>
        </w:rPr>
        <w:t>四、新生活教育视域下中职语文体验式阅读教学的操作策略</w:t>
      </w:r>
    </w:p>
    <w:p w14:paraId="7973D703" w14:textId="77777777" w:rsidR="006355C6" w:rsidRPr="00364AFC" w:rsidRDefault="00000000" w:rsidP="00364AFC">
      <w:pPr>
        <w:snapToGrid w:val="0"/>
        <w:spacing w:line="520" w:lineRule="exact"/>
        <w:ind w:firstLineChars="200" w:firstLine="602"/>
        <w:rPr>
          <w:rFonts w:ascii="仿宋" w:eastAsia="仿宋" w:hAnsi="仿宋" w:cs="楷体"/>
          <w:b/>
          <w:bCs/>
          <w:sz w:val="30"/>
          <w:szCs w:val="30"/>
        </w:rPr>
      </w:pPr>
      <w:r w:rsidRPr="00364AFC">
        <w:rPr>
          <w:rFonts w:ascii="仿宋" w:eastAsia="仿宋" w:hAnsi="仿宋" w:cs="楷体" w:hint="eastAsia"/>
          <w:b/>
          <w:bCs/>
          <w:sz w:val="30"/>
          <w:szCs w:val="30"/>
        </w:rPr>
        <w:t>（一）巧用角色扮演，深化阅读体验</w:t>
      </w:r>
    </w:p>
    <w:p w14:paraId="6C0C93AF" w14:textId="77777777" w:rsidR="006355C6" w:rsidRPr="00364AFC" w:rsidRDefault="00000000" w:rsidP="00364AFC">
      <w:pPr>
        <w:snapToGrid w:val="0"/>
        <w:spacing w:line="520" w:lineRule="exact"/>
        <w:ind w:leftChars="200" w:left="420" w:firstLine="200"/>
        <w:rPr>
          <w:rFonts w:ascii="仿宋" w:eastAsia="仿宋" w:hAnsi="仿宋" w:cs="宋体" w:hint="eastAsia"/>
          <w:sz w:val="30"/>
          <w:szCs w:val="30"/>
        </w:rPr>
      </w:pPr>
      <w:r w:rsidRPr="00364AFC">
        <w:rPr>
          <w:rFonts w:ascii="仿宋" w:eastAsia="仿宋" w:hAnsi="仿宋" w:cs="宋体" w:hint="eastAsia"/>
          <w:sz w:val="30"/>
          <w:szCs w:val="30"/>
        </w:rPr>
        <w:t>角色扮演是体验式阅读教学的一种高效方法，它允许学生根据文本内容，化</w:t>
      </w:r>
    </w:p>
    <w:p w14:paraId="398A9BAF" w14:textId="77777777" w:rsidR="006355C6" w:rsidRPr="00364AFC" w:rsidRDefault="00000000" w:rsidP="00364AFC">
      <w:pPr>
        <w:snapToGrid w:val="0"/>
        <w:spacing w:line="520" w:lineRule="exact"/>
        <w:ind w:firstLine="200"/>
        <w:rPr>
          <w:rFonts w:ascii="仿宋" w:eastAsia="仿宋" w:hAnsi="仿宋" w:cs="宋体" w:hint="eastAsia"/>
          <w:sz w:val="30"/>
          <w:szCs w:val="30"/>
        </w:rPr>
      </w:pPr>
      <w:r w:rsidRPr="00364AFC">
        <w:rPr>
          <w:rFonts w:ascii="仿宋" w:eastAsia="仿宋" w:hAnsi="仿宋" w:cs="宋体" w:hint="eastAsia"/>
          <w:sz w:val="30"/>
          <w:szCs w:val="30"/>
        </w:rPr>
        <w:t>身为不同的角色，从而在演绎中深入探究角色的内心世界、行为动机及情境需求。以戏剧角色为例，学生能从角色的独特视角出发，剖析其行为背后的深层原因，这种“亲历其境”的体验方式，不仅有助于学生深刻理解人物的心理状态，还能激发他们多角度审视问题，把握事物的复杂性，拓宽思维视野。</w:t>
      </w:r>
    </w:p>
    <w:p w14:paraId="15834CD6" w14:textId="77777777" w:rsidR="006355C6" w:rsidRPr="00364AFC" w:rsidRDefault="00000000" w:rsidP="00364AFC">
      <w:pPr>
        <w:snapToGrid w:val="0"/>
        <w:spacing w:line="520" w:lineRule="exact"/>
        <w:ind w:firstLineChars="200" w:firstLine="600"/>
        <w:rPr>
          <w:rFonts w:ascii="仿宋" w:eastAsia="仿宋" w:hAnsi="仿宋" w:cs="宋体" w:hint="eastAsia"/>
          <w:sz w:val="30"/>
          <w:szCs w:val="30"/>
        </w:rPr>
      </w:pPr>
      <w:r w:rsidRPr="00364AFC">
        <w:rPr>
          <w:rFonts w:ascii="仿宋" w:eastAsia="仿宋" w:hAnsi="仿宋" w:cs="宋体" w:hint="eastAsia"/>
          <w:sz w:val="30"/>
          <w:szCs w:val="30"/>
        </w:rPr>
        <w:t>比如在《雷雨》的教学中，可以通过让学生C和学生D分别扮演繁</w:t>
      </w:r>
      <w:proofErr w:type="gramStart"/>
      <w:r w:rsidRPr="00364AFC">
        <w:rPr>
          <w:rFonts w:ascii="仿宋" w:eastAsia="仿宋" w:hAnsi="仿宋" w:cs="宋体" w:hint="eastAsia"/>
          <w:sz w:val="30"/>
          <w:szCs w:val="30"/>
        </w:rPr>
        <w:t>漪</w:t>
      </w:r>
      <w:proofErr w:type="gramEnd"/>
      <w:r w:rsidRPr="00364AFC">
        <w:rPr>
          <w:rFonts w:ascii="仿宋" w:eastAsia="仿宋" w:hAnsi="仿宋" w:cs="宋体" w:hint="eastAsia"/>
          <w:sz w:val="30"/>
          <w:szCs w:val="30"/>
        </w:rPr>
        <w:t>和周萍，重现剧中情感冲突激烈的对话场景。他们的对话不仅仅是表面的文字，更是两个角色内心挣扎和矛盾的外化。通过这样的角色扮演，学生不仅能深刻体验到繁</w:t>
      </w:r>
      <w:proofErr w:type="gramStart"/>
      <w:r w:rsidRPr="00364AFC">
        <w:rPr>
          <w:rFonts w:ascii="仿宋" w:eastAsia="仿宋" w:hAnsi="仿宋" w:cs="宋体" w:hint="eastAsia"/>
          <w:sz w:val="30"/>
          <w:szCs w:val="30"/>
        </w:rPr>
        <w:t>漪</w:t>
      </w:r>
      <w:proofErr w:type="gramEnd"/>
      <w:r w:rsidRPr="00364AFC">
        <w:rPr>
          <w:rFonts w:ascii="仿宋" w:eastAsia="仿宋" w:hAnsi="仿宋" w:cs="宋体" w:hint="eastAsia"/>
          <w:sz w:val="30"/>
          <w:szCs w:val="30"/>
        </w:rPr>
        <w:t>的深情与不安，周萍的矛盾与挣扎，还能深入探讨剧中复杂的家庭关系和人物间的爱恨情仇。其他学生则通过提问和讨论，进一步分析角色行为动机，理解剧情发展，以及作品所反映的社会道德和家庭伦理问题。这样的角色扮演教学，不仅加深了学生对文本的理解，还提升了他们的</w:t>
      </w:r>
      <w:proofErr w:type="gramStart"/>
      <w:r w:rsidRPr="00364AFC">
        <w:rPr>
          <w:rFonts w:ascii="仿宋" w:eastAsia="仿宋" w:hAnsi="仿宋" w:cs="宋体" w:hint="eastAsia"/>
          <w:sz w:val="30"/>
          <w:szCs w:val="30"/>
        </w:rPr>
        <w:t>同理心</w:t>
      </w:r>
      <w:proofErr w:type="gramEnd"/>
      <w:r w:rsidRPr="00364AFC">
        <w:rPr>
          <w:rFonts w:ascii="仿宋" w:eastAsia="仿宋" w:hAnsi="仿宋" w:cs="宋体" w:hint="eastAsia"/>
          <w:sz w:val="30"/>
          <w:szCs w:val="30"/>
        </w:rPr>
        <w:t>和批判性思维能力。</w:t>
      </w:r>
    </w:p>
    <w:p w14:paraId="6927736C" w14:textId="77777777" w:rsidR="006355C6" w:rsidRPr="00364AFC" w:rsidRDefault="00000000" w:rsidP="00364AFC">
      <w:pPr>
        <w:snapToGrid w:val="0"/>
        <w:spacing w:line="520" w:lineRule="exact"/>
        <w:ind w:firstLineChars="200" w:firstLine="602"/>
        <w:rPr>
          <w:rFonts w:ascii="仿宋" w:eastAsia="仿宋" w:hAnsi="仿宋" w:cs="楷体"/>
          <w:b/>
          <w:bCs/>
          <w:sz w:val="30"/>
          <w:szCs w:val="30"/>
        </w:rPr>
      </w:pPr>
      <w:r w:rsidRPr="00364AFC">
        <w:rPr>
          <w:rFonts w:ascii="仿宋" w:eastAsia="仿宋" w:hAnsi="仿宋" w:cs="楷体" w:hint="eastAsia"/>
          <w:b/>
          <w:bCs/>
          <w:sz w:val="30"/>
          <w:szCs w:val="30"/>
        </w:rPr>
        <w:t>（二）创设多样情境，丰富学习体验</w:t>
      </w:r>
    </w:p>
    <w:p w14:paraId="2983F397" w14:textId="77777777" w:rsidR="006355C6" w:rsidRPr="00364AFC" w:rsidRDefault="00000000" w:rsidP="00364AFC">
      <w:pPr>
        <w:snapToGrid w:val="0"/>
        <w:spacing w:line="520" w:lineRule="exact"/>
        <w:ind w:firstLineChars="200" w:firstLine="600"/>
        <w:rPr>
          <w:rFonts w:ascii="仿宋" w:eastAsia="仿宋" w:hAnsi="仿宋" w:cs="宋体" w:hint="eastAsia"/>
          <w:sz w:val="30"/>
          <w:szCs w:val="30"/>
        </w:rPr>
      </w:pPr>
      <w:r w:rsidRPr="00364AFC">
        <w:rPr>
          <w:rFonts w:ascii="仿宋" w:eastAsia="仿宋" w:hAnsi="仿宋" w:cs="宋体" w:hint="eastAsia"/>
          <w:sz w:val="30"/>
          <w:szCs w:val="30"/>
        </w:rPr>
        <w:lastRenderedPageBreak/>
        <w:t>在体验式阅读教学的实践中，教师可以通过构建多元化、富有创意的教学情境，极大地丰富学生的学习经历。这些情境既可以是现实生活的写照，也可以是虚构世界的想象，它们都能有效激发学生的内在情感，促进思维的交流与融合。这种情境化的学习方式不仅有助于学生更深刻地理解文本的内涵，还能增强他们对生活现象的洞察力和感悟力。在创设教学情境时，教师应注重两个关键点：一是建立联系，二是还原情境。建立联系，意味着将文本世界与学生的真实生活及成长经历紧密相连，使学生深刻认识到阅读的意义和价值所在，从而激发他们的学习兴趣和动力。还原情境，则是要将知识的来龙去脉清晰地呈现出来，将抽象的概念和符号转化为具体、可感知的场景系统，使知识变得情境化、条件化、结构化和生活化，从而便于学生理解和应用。同时，教师还需充分考虑学生的个体差异，确保每个学生都能在教学情境中找到适合自己的切入点，获得成就感和满足感。这样的体验式阅读教学，才能真正实现因材施教，促进学生的全面发展。</w:t>
      </w:r>
    </w:p>
    <w:p w14:paraId="4624BD46" w14:textId="77777777" w:rsidR="006355C6" w:rsidRPr="00364AFC" w:rsidRDefault="00000000" w:rsidP="00364AFC">
      <w:pPr>
        <w:snapToGrid w:val="0"/>
        <w:spacing w:line="520" w:lineRule="exact"/>
        <w:ind w:firstLineChars="200" w:firstLine="600"/>
        <w:rPr>
          <w:rFonts w:ascii="仿宋" w:eastAsia="仿宋" w:hAnsi="仿宋" w:cs="宋体" w:hint="eastAsia"/>
          <w:sz w:val="30"/>
          <w:szCs w:val="30"/>
        </w:rPr>
      </w:pPr>
      <w:r w:rsidRPr="00364AFC">
        <w:rPr>
          <w:rFonts w:ascii="仿宋" w:eastAsia="仿宋" w:hAnsi="仿宋" w:cs="宋体" w:hint="eastAsia"/>
          <w:sz w:val="30"/>
          <w:szCs w:val="30"/>
        </w:rPr>
        <w:t>例如，在教授《念奴娇·赤壁怀古》这首词时，教师可以创设以下情景：黄州市为纪念苏轼，打算在赤壁设立一座苏轼雕像，请你利用AI软件为雕像设计草图，尤其注意人物头像微表情，明确AI文案撰写直接关系生成图像是否贴切。引导学生分析苏轼精神内涵。通过这样的情境创设，学生不仅能够更加深刻地体会到诗中的历史沧桑感和诗人的感慨，还能在个性化的表达中提升自己的创造力和表达能力。</w:t>
      </w:r>
    </w:p>
    <w:p w14:paraId="0A7E02F8" w14:textId="77777777" w:rsidR="006355C6" w:rsidRPr="00364AFC" w:rsidRDefault="00000000" w:rsidP="00364AFC">
      <w:pPr>
        <w:snapToGrid w:val="0"/>
        <w:spacing w:line="520" w:lineRule="exact"/>
        <w:ind w:firstLineChars="200" w:firstLine="602"/>
        <w:rPr>
          <w:rFonts w:ascii="仿宋" w:eastAsia="仿宋" w:hAnsi="仿宋" w:cs="楷体"/>
          <w:b/>
          <w:bCs/>
          <w:sz w:val="30"/>
          <w:szCs w:val="30"/>
        </w:rPr>
      </w:pPr>
      <w:r w:rsidRPr="00364AFC">
        <w:rPr>
          <w:rFonts w:ascii="仿宋" w:eastAsia="仿宋" w:hAnsi="仿宋" w:cs="楷体" w:hint="eastAsia"/>
          <w:b/>
          <w:bCs/>
          <w:sz w:val="30"/>
          <w:szCs w:val="30"/>
        </w:rPr>
        <w:t>（三）鼓励互动对话，培养核心素养</w:t>
      </w:r>
    </w:p>
    <w:p w14:paraId="1F44A416" w14:textId="77777777" w:rsidR="006355C6" w:rsidRPr="00364AFC" w:rsidRDefault="00000000" w:rsidP="00364AFC">
      <w:pPr>
        <w:snapToGrid w:val="0"/>
        <w:spacing w:line="520" w:lineRule="exact"/>
        <w:ind w:firstLineChars="200" w:firstLine="600"/>
        <w:rPr>
          <w:rFonts w:ascii="仿宋" w:eastAsia="仿宋" w:hAnsi="仿宋" w:cs="宋体" w:hint="eastAsia"/>
          <w:sz w:val="30"/>
          <w:szCs w:val="30"/>
        </w:rPr>
      </w:pPr>
      <w:r w:rsidRPr="00364AFC">
        <w:rPr>
          <w:rFonts w:ascii="仿宋" w:eastAsia="仿宋" w:hAnsi="仿宋" w:cs="宋体" w:hint="eastAsia"/>
          <w:sz w:val="30"/>
          <w:szCs w:val="30"/>
        </w:rPr>
        <w:t>体验式阅读教学强调学生在对话中的主体地位，倡导平等、开放的讨论氛围。通过互动对话，学生不仅能锻炼语言组织和表达能力，还能在交流与沟通中获得独特的阅读体验。学生可以分</w:t>
      </w:r>
      <w:r w:rsidRPr="00364AFC">
        <w:rPr>
          <w:rFonts w:ascii="仿宋" w:eastAsia="仿宋" w:hAnsi="仿宋" w:cs="宋体" w:hint="eastAsia"/>
          <w:sz w:val="30"/>
          <w:szCs w:val="30"/>
        </w:rPr>
        <w:lastRenderedPageBreak/>
        <w:t>享自己对文本的理解，聆听同伴的不同见解，从而认识到文本解读的多角度性，反思自身视角的局限性，并在此基础上重构认知。无论是师生之间的对话，还是学生之间的交流，都有助于建立信任关系，增强课堂互动，丰富彼此的交流体验。因此，教师在组织对话讨论时，应注重内容和形式的多样性，满足不同学生的需求，确保所有学生都能在对话中受益。</w:t>
      </w:r>
    </w:p>
    <w:p w14:paraId="2757981E" w14:textId="77777777" w:rsidR="006355C6" w:rsidRPr="00364AFC" w:rsidRDefault="00000000" w:rsidP="00364AFC">
      <w:pPr>
        <w:snapToGrid w:val="0"/>
        <w:spacing w:line="520" w:lineRule="exact"/>
        <w:ind w:firstLineChars="200" w:firstLine="600"/>
        <w:rPr>
          <w:rFonts w:ascii="仿宋" w:eastAsia="仿宋" w:hAnsi="仿宋" w:cs="宋体" w:hint="eastAsia"/>
          <w:sz w:val="30"/>
          <w:szCs w:val="30"/>
        </w:rPr>
      </w:pPr>
      <w:r w:rsidRPr="00364AFC">
        <w:rPr>
          <w:rFonts w:ascii="仿宋" w:eastAsia="仿宋" w:hAnsi="仿宋" w:cs="宋体" w:hint="eastAsia"/>
          <w:sz w:val="30"/>
          <w:szCs w:val="30"/>
        </w:rPr>
        <w:t>例如，在教授《喜看稻菽千重浪》时，教师可以引导学生围绕“创新与责任：袁隆平与现代青年的担当”这一主题进行深入探讨。首先引导学生结合自身学习生活思考对创新和责任的理解，然后结合课文内容，探讨袁隆平以科技创新实现对国家的担当与现代青年的责任、担当之间的联系。接着在课堂上分享自己的看法，比如如何在生活中体现创新和责任，或讨论袁隆平身上的科学家精神给自己带来的启示。</w:t>
      </w:r>
    </w:p>
    <w:p w14:paraId="66736C3F" w14:textId="77777777" w:rsidR="006355C6" w:rsidRPr="00364AFC" w:rsidRDefault="00000000" w:rsidP="00364AFC">
      <w:pPr>
        <w:snapToGrid w:val="0"/>
        <w:spacing w:line="520" w:lineRule="exact"/>
        <w:ind w:firstLineChars="200" w:firstLine="602"/>
        <w:rPr>
          <w:rFonts w:ascii="仿宋" w:eastAsia="仿宋" w:hAnsi="仿宋" w:cs="楷体"/>
          <w:b/>
          <w:bCs/>
          <w:sz w:val="30"/>
          <w:szCs w:val="30"/>
        </w:rPr>
      </w:pPr>
      <w:r w:rsidRPr="00364AFC">
        <w:rPr>
          <w:rFonts w:ascii="仿宋" w:eastAsia="仿宋" w:hAnsi="仿宋" w:cs="楷体" w:hint="eastAsia"/>
          <w:b/>
          <w:bCs/>
          <w:sz w:val="30"/>
          <w:szCs w:val="30"/>
        </w:rPr>
        <w:t>（四）聚焦读写结合，拓展阅读体验</w:t>
      </w:r>
    </w:p>
    <w:p w14:paraId="750C9350" w14:textId="77777777" w:rsidR="006355C6" w:rsidRPr="00364AFC" w:rsidRDefault="00000000" w:rsidP="00364AFC">
      <w:pPr>
        <w:snapToGrid w:val="0"/>
        <w:spacing w:line="520" w:lineRule="exact"/>
        <w:ind w:firstLineChars="200" w:firstLine="600"/>
        <w:rPr>
          <w:rFonts w:ascii="仿宋" w:eastAsia="仿宋" w:hAnsi="仿宋" w:cs="宋体" w:hint="eastAsia"/>
          <w:sz w:val="30"/>
          <w:szCs w:val="30"/>
        </w:rPr>
      </w:pPr>
      <w:r w:rsidRPr="00364AFC">
        <w:rPr>
          <w:rFonts w:ascii="仿宋" w:eastAsia="仿宋" w:hAnsi="仿宋" w:cs="宋体" w:hint="eastAsia"/>
          <w:sz w:val="30"/>
          <w:szCs w:val="30"/>
        </w:rPr>
        <w:t>在体验式阅读教学中，将阅读与写作紧密结合是扩展学生学习体验、深化思维的重要手段。通过阅读激发写作灵感，学生可以在深入分析文本的基础上，通过创作来深化思考，展现自己的思维成果。同时，写作又能反过来加深对阅读材料的理解，使学生通过创作活动获得新的阅读体验。</w:t>
      </w:r>
    </w:p>
    <w:p w14:paraId="7E7C4983" w14:textId="77777777" w:rsidR="006355C6" w:rsidRPr="00364AFC" w:rsidRDefault="00000000" w:rsidP="00364AFC">
      <w:pPr>
        <w:snapToGrid w:val="0"/>
        <w:spacing w:line="520" w:lineRule="exact"/>
        <w:ind w:firstLineChars="200" w:firstLine="600"/>
        <w:rPr>
          <w:rFonts w:ascii="仿宋" w:eastAsia="仿宋" w:hAnsi="仿宋" w:cs="宋体" w:hint="eastAsia"/>
          <w:sz w:val="30"/>
          <w:szCs w:val="30"/>
        </w:rPr>
      </w:pPr>
      <w:r w:rsidRPr="00364AFC">
        <w:rPr>
          <w:rFonts w:ascii="仿宋" w:eastAsia="仿宋" w:hAnsi="仿宋" w:cs="宋体" w:hint="eastAsia"/>
          <w:sz w:val="30"/>
          <w:szCs w:val="30"/>
        </w:rPr>
        <w:t>以《故都的秋》为例，教师可以引导学生感受文章中对故都秋天的细腻描绘和作者对传统文化的深刻思考。学生可以通过精读、讨论或个人沉思等方式，探究文本的内涵和作者的情感。教师可以提出开放式问题，如“作者如何通过景物描写来表达对故都的情感？”“你认为文章中的秋天景色与作者的情感有何联系？”等，以激发学生的思考和创意。在写作教学阶段，教师可以指导学生基于对《故都的秋》的理解，进行创意写作练习。学</w:t>
      </w:r>
      <w:r w:rsidRPr="00364AFC">
        <w:rPr>
          <w:rFonts w:ascii="仿宋" w:eastAsia="仿宋" w:hAnsi="仿宋" w:cs="宋体" w:hint="eastAsia"/>
          <w:sz w:val="30"/>
          <w:szCs w:val="30"/>
        </w:rPr>
        <w:lastRenderedPageBreak/>
        <w:t>生可以尝试撰写关于秋天的散文、描绘季节变换的诗歌，或者是对文章中某个情节的扩写。通过这些写作活动，学生可以表达自己对秋天、对文化传承的独特见解和情感体验。在写作过程中，教师应提供写作技巧的指导，例如“如何运用象征和隐喻来表达深层次的意义？”“如何通过对比手法增强文章的层次感？”等，以帮助学生提升思维和语言表达能力。通过读写结合的教学方法，学生不仅能够通过阅读吸收知识、深化理解，还能通过写作活动进一步感悟文本，培养自己的创新思维和综合能力，从而丰富学习体验，提高语文素养。</w:t>
      </w:r>
    </w:p>
    <w:p w14:paraId="011D24B3" w14:textId="77777777" w:rsidR="006355C6" w:rsidRPr="00364AFC" w:rsidRDefault="00000000" w:rsidP="00364AFC">
      <w:pPr>
        <w:snapToGrid w:val="0"/>
        <w:spacing w:line="520" w:lineRule="exact"/>
        <w:ind w:firstLineChars="200" w:firstLine="602"/>
        <w:rPr>
          <w:rFonts w:ascii="仿宋" w:eastAsia="仿宋" w:hAnsi="仿宋" w:cs="楷体"/>
          <w:b/>
          <w:bCs/>
          <w:sz w:val="30"/>
          <w:szCs w:val="30"/>
        </w:rPr>
      </w:pPr>
      <w:r w:rsidRPr="00364AFC">
        <w:rPr>
          <w:rFonts w:ascii="仿宋" w:eastAsia="仿宋" w:hAnsi="仿宋" w:cs="楷体" w:hint="eastAsia"/>
          <w:b/>
          <w:bCs/>
          <w:sz w:val="30"/>
          <w:szCs w:val="30"/>
        </w:rPr>
        <w:t>（五）引入信息技术，提升课堂效果</w:t>
      </w:r>
    </w:p>
    <w:p w14:paraId="56158F1D" w14:textId="77777777" w:rsidR="006355C6" w:rsidRPr="00364AFC" w:rsidRDefault="00000000" w:rsidP="00364AFC">
      <w:pPr>
        <w:snapToGrid w:val="0"/>
        <w:spacing w:line="520" w:lineRule="exact"/>
        <w:ind w:firstLineChars="200" w:firstLine="600"/>
        <w:rPr>
          <w:rFonts w:ascii="仿宋" w:eastAsia="仿宋" w:hAnsi="仿宋" w:cs="宋体" w:hint="eastAsia"/>
          <w:sz w:val="30"/>
          <w:szCs w:val="30"/>
        </w:rPr>
      </w:pPr>
      <w:r w:rsidRPr="00364AFC">
        <w:rPr>
          <w:rFonts w:ascii="仿宋" w:eastAsia="仿宋" w:hAnsi="仿宋" w:cs="宋体" w:hint="eastAsia"/>
          <w:sz w:val="30"/>
          <w:szCs w:val="30"/>
        </w:rPr>
        <w:t>在数字化浪潮的推动下，教育信息化已成为现代教学的必然趋势和教学改革的关键力量，信息化技术，尤其是人工智能，作为新科技革命与产业革命的核心引擎，正全面重塑我们的生活与工作方式。在教育领域，信息技术与教学过程的融合，大大拓展了教学的时间和空间，带来了教育理念和教育生态的深刻变革，为体验式教学提供了坚实的支撑。具体而言，在教学资源层面，数字资源的广泛应用极大地丰富了教学内容的形式与内涵。这包括但不限于多媒体课件、在线视频教程、AR/VR技术，以及个性化学习辅助工具等，它们共同为学生提供了更为丰富、直观的学习材料。同时，教学方式的创新也离不开信息技术的有力支撑。通过将线上数字资源与线下传统教学手段相结合，能够为学生提供更加多样化的学习体验。此外，游戏化学习机制的引入，如积分系统、虚拟奖励等，有效提升了学习的趣味性与参与度，使学习过程更加生动有趣。体验式教学就是为了让课堂“活起来”，师生“动起来”，因此教师应该充分利用信息技术，创建具备沉浸式感知与互动探索功能的教学情境，从而激发学生的学习兴趣，</w:t>
      </w:r>
      <w:r w:rsidRPr="00364AFC">
        <w:rPr>
          <w:rFonts w:ascii="仿宋" w:eastAsia="仿宋" w:hAnsi="仿宋" w:cs="宋体" w:hint="eastAsia"/>
          <w:sz w:val="30"/>
          <w:szCs w:val="30"/>
        </w:rPr>
        <w:lastRenderedPageBreak/>
        <w:t>提升教学效果。</w:t>
      </w:r>
    </w:p>
    <w:p w14:paraId="14202C32" w14:textId="77777777" w:rsidR="006355C6" w:rsidRPr="00364AFC" w:rsidRDefault="00000000" w:rsidP="00364AFC">
      <w:pPr>
        <w:snapToGrid w:val="0"/>
        <w:spacing w:line="520" w:lineRule="exact"/>
        <w:ind w:firstLineChars="200" w:firstLine="600"/>
        <w:rPr>
          <w:rFonts w:ascii="仿宋" w:eastAsia="仿宋" w:hAnsi="仿宋" w:cs="宋体" w:hint="eastAsia"/>
          <w:sz w:val="30"/>
          <w:szCs w:val="30"/>
        </w:rPr>
      </w:pPr>
      <w:r w:rsidRPr="00364AFC">
        <w:rPr>
          <w:rFonts w:ascii="仿宋" w:eastAsia="仿宋" w:hAnsi="仿宋" w:cs="宋体" w:hint="eastAsia"/>
          <w:sz w:val="30"/>
          <w:szCs w:val="30"/>
        </w:rPr>
        <w:t>例如，在《百合花》的教学中，小说作者没有写小战士第一次到小媳妇家借被子的情形，而电影却把这个细节表演出来了，在教学时，可以剪辑这个片段，与文本进行比较阅读，再结合大单元教学目标，设计两个学习任务，任务</w:t>
      </w:r>
      <w:proofErr w:type="gramStart"/>
      <w:r w:rsidRPr="00364AFC">
        <w:rPr>
          <w:rFonts w:ascii="仿宋" w:eastAsia="仿宋" w:hAnsi="仿宋" w:cs="宋体" w:hint="eastAsia"/>
          <w:sz w:val="30"/>
          <w:szCs w:val="30"/>
        </w:rPr>
        <w:t>一</w:t>
      </w:r>
      <w:proofErr w:type="gramEnd"/>
      <w:r w:rsidRPr="00364AFC">
        <w:rPr>
          <w:rFonts w:ascii="仿宋" w:eastAsia="仿宋" w:hAnsi="仿宋" w:cs="宋体" w:hint="eastAsia"/>
          <w:sz w:val="30"/>
          <w:szCs w:val="30"/>
        </w:rPr>
        <w:t>：比较小说作者和电影编剧对这个细节的处理，体会各自的艺术魅力；任务二：如果你是课本剧编剧，将如何处理这个细节，请阐述理由。</w:t>
      </w:r>
    </w:p>
    <w:p w14:paraId="314C453E" w14:textId="77777777" w:rsidR="006355C6" w:rsidRPr="00364AFC" w:rsidRDefault="00000000" w:rsidP="00364AFC">
      <w:pPr>
        <w:snapToGrid w:val="0"/>
        <w:spacing w:line="520" w:lineRule="exact"/>
        <w:ind w:firstLineChars="200" w:firstLine="600"/>
        <w:rPr>
          <w:rFonts w:ascii="仿宋" w:eastAsia="仿宋" w:hAnsi="仿宋" w:cs="宋体" w:hint="eastAsia"/>
          <w:sz w:val="30"/>
          <w:szCs w:val="30"/>
        </w:rPr>
      </w:pPr>
      <w:r w:rsidRPr="00364AFC">
        <w:rPr>
          <w:rFonts w:ascii="仿宋" w:eastAsia="仿宋" w:hAnsi="仿宋" w:cs="宋体" w:hint="eastAsia"/>
          <w:sz w:val="30"/>
          <w:szCs w:val="30"/>
        </w:rPr>
        <w:t>在新生活教育的引领下，对中职语文体验式阅读教学实践进行深入研究，不仅具有鲜明的现实意义，更是对教育本质的深刻洞察。一方面，它有助于探索出更加贴近学生实际、满足其个性化需求的教学方式，从而激发学生的学习兴趣与主动性，促进其全面发展与个性化成长。另一方面，它也能够推动教师不断完善和优化体验式阅读教学的教学方法与策略，提高阅读教学的针对性和实效性，为中职语文阅读教学注入新的活力与内涵。</w:t>
      </w:r>
    </w:p>
    <w:p w14:paraId="56093583" w14:textId="77777777" w:rsidR="006355C6" w:rsidRPr="00364AFC" w:rsidRDefault="006355C6" w:rsidP="00364AFC">
      <w:pPr>
        <w:snapToGrid w:val="0"/>
        <w:spacing w:line="520" w:lineRule="exact"/>
        <w:ind w:firstLineChars="200" w:firstLine="600"/>
        <w:rPr>
          <w:rFonts w:ascii="仿宋" w:eastAsia="仿宋" w:hAnsi="仿宋" w:cs="宋体" w:hint="eastAsia"/>
          <w:sz w:val="30"/>
          <w:szCs w:val="30"/>
        </w:rPr>
      </w:pPr>
    </w:p>
    <w:p w14:paraId="3A56C233" w14:textId="77777777" w:rsidR="006355C6" w:rsidRDefault="006355C6"/>
    <w:p w14:paraId="2D64EFAD" w14:textId="77777777" w:rsidR="006355C6" w:rsidRDefault="006355C6"/>
    <w:p w14:paraId="144B8ED3" w14:textId="77777777" w:rsidR="006355C6" w:rsidRDefault="00000000">
      <w:pPr>
        <w:snapToGrid w:val="0"/>
        <w:spacing w:line="400" w:lineRule="exact"/>
        <w:rPr>
          <w:rFonts w:ascii="楷体" w:eastAsia="楷体" w:hAnsi="楷体" w:cs="楷体"/>
          <w:b/>
          <w:bCs/>
          <w:szCs w:val="21"/>
        </w:rPr>
      </w:pPr>
      <w:r>
        <w:rPr>
          <w:rFonts w:ascii="楷体" w:eastAsia="楷体" w:hAnsi="楷体" w:cs="楷体" w:hint="eastAsia"/>
          <w:b/>
          <w:bCs/>
          <w:szCs w:val="21"/>
        </w:rPr>
        <w:t>参考文献：</w:t>
      </w:r>
    </w:p>
    <w:p w14:paraId="31B2F95D" w14:textId="77777777" w:rsidR="006355C6" w:rsidRDefault="00000000">
      <w:pPr>
        <w:spacing w:line="400" w:lineRule="exact"/>
        <w:rPr>
          <w:rFonts w:ascii="楷体" w:eastAsia="楷体" w:hAnsi="楷体" w:cs="楷体"/>
        </w:rPr>
      </w:pPr>
      <w:r>
        <w:rPr>
          <w:rFonts w:ascii="楷体" w:eastAsia="楷体" w:hAnsi="楷体" w:cs="楷体" w:hint="eastAsia"/>
          <w:b/>
          <w:bCs/>
          <w:szCs w:val="21"/>
        </w:rPr>
        <w:t>1.</w:t>
      </w:r>
      <w:r>
        <w:rPr>
          <w:rFonts w:ascii="楷体" w:eastAsia="楷体" w:hAnsi="楷体" w:cs="楷体" w:hint="eastAsia"/>
        </w:rPr>
        <w:t>孙凤娇. 基于生活教育视角的儿童微课程实施的个案研究[D].兰州：西北师范大学，2022.</w:t>
      </w:r>
    </w:p>
    <w:p w14:paraId="3A152DEA" w14:textId="77777777" w:rsidR="006355C6" w:rsidRDefault="00000000">
      <w:pPr>
        <w:spacing w:line="400" w:lineRule="exact"/>
        <w:rPr>
          <w:rFonts w:ascii="楷体" w:eastAsia="楷体" w:hAnsi="楷体" w:cs="楷体"/>
        </w:rPr>
      </w:pPr>
      <w:r>
        <w:rPr>
          <w:rFonts w:ascii="楷体" w:eastAsia="楷体" w:hAnsi="楷体" w:cs="楷体" w:hint="eastAsia"/>
        </w:rPr>
        <w:t>2.</w:t>
      </w:r>
      <w:proofErr w:type="gramStart"/>
      <w:r>
        <w:rPr>
          <w:rFonts w:ascii="楷体" w:eastAsia="楷体" w:hAnsi="楷体" w:cs="楷体" w:hint="eastAsia"/>
        </w:rPr>
        <w:t>文晓娇</w:t>
      </w:r>
      <w:proofErr w:type="gramEnd"/>
      <w:r>
        <w:rPr>
          <w:rFonts w:ascii="楷体" w:eastAsia="楷体" w:hAnsi="楷体" w:cs="楷体" w:hint="eastAsia"/>
        </w:rPr>
        <w:t>. 陶行知生活教育思想下小学生活化作文教学现状及对策研究[D].沈阳：沈阳师范大学，2021</w:t>
      </w:r>
    </w:p>
    <w:p w14:paraId="598F4EA3" w14:textId="77777777" w:rsidR="006355C6" w:rsidRDefault="00000000">
      <w:pPr>
        <w:spacing w:line="400" w:lineRule="exact"/>
        <w:rPr>
          <w:rFonts w:ascii="楷体" w:eastAsia="楷体" w:hAnsi="楷体" w:cs="楷体"/>
        </w:rPr>
      </w:pPr>
      <w:r>
        <w:rPr>
          <w:rFonts w:ascii="楷体" w:eastAsia="楷体" w:hAnsi="楷体" w:cs="楷体" w:hint="eastAsia"/>
        </w:rPr>
        <w:t>3.张慧</w:t>
      </w:r>
      <w:proofErr w:type="gramStart"/>
      <w:r>
        <w:rPr>
          <w:rFonts w:ascii="楷体" w:eastAsia="楷体" w:hAnsi="楷体" w:cs="楷体" w:hint="eastAsia"/>
        </w:rPr>
        <w:t>慧</w:t>
      </w:r>
      <w:proofErr w:type="gramEnd"/>
      <w:r>
        <w:rPr>
          <w:rFonts w:ascii="楷体" w:eastAsia="楷体" w:hAnsi="楷体" w:cs="楷体" w:hint="eastAsia"/>
        </w:rPr>
        <w:t>. 陶行知“生活教育”视角下幼儿园班级环境的美术渗透[J].才智，2022（15）：45</w:t>
      </w:r>
    </w:p>
    <w:p w14:paraId="69C89AE1" w14:textId="77777777" w:rsidR="006355C6" w:rsidRDefault="00000000">
      <w:pPr>
        <w:snapToGrid w:val="0"/>
        <w:spacing w:line="400" w:lineRule="exact"/>
        <w:rPr>
          <w:rFonts w:ascii="楷体" w:eastAsia="楷体" w:hAnsi="楷体" w:cs="楷体"/>
          <w:b/>
          <w:bCs/>
          <w:szCs w:val="21"/>
        </w:rPr>
      </w:pPr>
      <w:r>
        <w:rPr>
          <w:rFonts w:ascii="楷体" w:eastAsia="楷体" w:hAnsi="楷体" w:cs="楷体" w:hint="eastAsia"/>
          <w:szCs w:val="21"/>
        </w:rPr>
        <w:t>4.]</w:t>
      </w:r>
      <w:r>
        <w:rPr>
          <w:rFonts w:ascii="楷体" w:eastAsia="楷体" w:hAnsi="楷体" w:cs="楷体" w:hint="eastAsia"/>
        </w:rPr>
        <w:t>陶行知生活教育理论及对当代教育的启示[J]. 科教导刊. 2020(06):7-8</w:t>
      </w:r>
    </w:p>
    <w:sectPr w:rsidR="006355C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
    <w:altName w:val="汉仪楷体KW"/>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5FC7F5C"/>
    <w:multiLevelType w:val="singleLevel"/>
    <w:tmpl w:val="F5FC7F5C"/>
    <w:lvl w:ilvl="0">
      <w:start w:val="2"/>
      <w:numFmt w:val="chineseCounting"/>
      <w:suff w:val="nothing"/>
      <w:lvlText w:val="%1、"/>
      <w:lvlJc w:val="left"/>
      <w:rPr>
        <w:rFonts w:hint="eastAsia"/>
      </w:rPr>
    </w:lvl>
  </w:abstractNum>
  <w:abstractNum w:abstractNumId="1" w15:restartNumberingAfterBreak="0">
    <w:nsid w:val="FAF4542B"/>
    <w:multiLevelType w:val="singleLevel"/>
    <w:tmpl w:val="FAF4542B"/>
    <w:lvl w:ilvl="0">
      <w:start w:val="2"/>
      <w:numFmt w:val="chineseCounting"/>
      <w:suff w:val="nothing"/>
      <w:lvlText w:val="（%1）"/>
      <w:lvlJc w:val="left"/>
      <w:rPr>
        <w:rFonts w:hint="eastAsia"/>
      </w:rPr>
    </w:lvl>
  </w:abstractNum>
  <w:num w:numId="1" w16cid:durableId="1156603333">
    <w:abstractNumId w:val="1"/>
  </w:num>
  <w:num w:numId="2" w16cid:durableId="8381537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77FE04E"/>
    <w:rsid w:val="F7FD4F43"/>
    <w:rsid w:val="002E7902"/>
    <w:rsid w:val="00364AFC"/>
    <w:rsid w:val="006355C6"/>
    <w:rsid w:val="007E0BDC"/>
    <w:rsid w:val="009328DE"/>
    <w:rsid w:val="0BE9A31E"/>
    <w:rsid w:val="16FE7B55"/>
    <w:rsid w:val="477FE04E"/>
    <w:rsid w:val="5BBC4692"/>
    <w:rsid w:val="7F2F28EA"/>
    <w:rsid w:val="A97B38AC"/>
    <w:rsid w:val="BBFEB2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80F57FE"/>
  <w15:docId w15:val="{06AEA4F7-AC65-4C80-920D-490B67623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semiHidden="1" w:uiPriority="99" w:unhideWhenUsed="1"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qFormat/>
    <w:pPr>
      <w:spacing w:beforeAutospacing="1" w:afterAutospacing="1"/>
      <w:jc w:val="left"/>
    </w:pPr>
    <w:rPr>
      <w:kern w:val="0"/>
      <w:sz w:val="24"/>
    </w:rPr>
  </w:style>
  <w:style w:type="paragraph" w:customStyle="1" w:styleId="Default">
    <w:name w:val="Default"/>
    <w:qFormat/>
    <w:pPr>
      <w:widowControl w:val="0"/>
      <w:autoSpaceDE w:val="0"/>
      <w:autoSpaceDN w:val="0"/>
      <w:adjustRightInd w:val="0"/>
    </w:pPr>
    <w:rPr>
      <w:rFonts w:ascii="宋体" w:hAnsiTheme="minorHAnsi" w:cs="宋体"/>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3#1">
  <dgm:title val=""/>
  <dgm:desc val=""/>
  <dgm:catLst>
    <dgm:cat type="accent1" pri="11300"/>
  </dgm:catLst>
  <dgm:styleLbl name="alignAcc1">
    <dgm:fillClrLst meth="repeat">
      <a:srgbClr val="FFFFFF">
        <a:alpha val="90000"/>
      </a:srgbClr>
    </dgm:fillClrLst>
    <dgm:linClrLst>
      <a:srgbClr val="4068B8">
        <a:shade val="80000"/>
      </a:srgbClr>
      <a:srgbClr val="9FAEDC">
        <a:tint val="70000"/>
      </a:srgbClr>
    </dgm:linClrLst>
    <dgm:effectClrLst/>
    <dgm:txLinClrLst/>
    <dgm:txFillClrLst meth="repeat">
      <a:srgbClr val="000000"/>
    </dgm:txFillClrLst>
    <dgm:txEffectClrLst/>
  </dgm:styleLbl>
  <dgm:styleLbl name="alignAccFollowNode1">
    <dgm:fillClrLst meth="repeat">
      <a:srgbClr val="CFD6EC">
        <a:alpha val="90000"/>
        <a:tint val="40000"/>
      </a:srgbClr>
    </dgm:fillClrLst>
    <dgm:linClrLst meth="repeat">
      <a:srgbClr val="CFD6EC">
        <a:alpha val="90000"/>
        <a:tint val="40000"/>
      </a:srgbClr>
    </dgm:linClrLst>
    <dgm:effectClrLst/>
    <dgm:txLinClrLst/>
    <dgm:txFillClrLst meth="repeat">
      <a:srgbClr val="000000"/>
    </dgm:txFillClrLst>
    <dgm:txEffectClrLst/>
  </dgm:styleLbl>
  <dgm:styleLbl name="alignImgPlace1">
    <dgm:fillClrLst>
      <a:srgbClr val="C1C9E7">
        <a:tint val="50000"/>
      </a:srgbClr>
      <a:srgbClr val="E9ECF6">
        <a:tint val="20000"/>
      </a:srgbClr>
    </dgm:fillClrLst>
    <dgm:linClrLst meth="repeat">
      <a:srgbClr val="FFFFFF"/>
    </dgm:linClrLst>
    <dgm:effectClrLst/>
    <dgm:txLinClrLst/>
    <dgm:txFillClrLst meth="repeat">
      <a:srgbClr val="FFFFFF"/>
    </dgm:txFillClrLst>
    <dgm:txEffectClrLst/>
  </dgm:styleLbl>
  <dgm:styleLbl name="alignNode1">
    <dgm:fillClrLst>
      <a:srgbClr val="4068B8">
        <a:shade val="80000"/>
      </a:srgbClr>
      <a:srgbClr val="9FAEDC">
        <a:tint val="70000"/>
      </a:srgbClr>
    </dgm:fillClrLst>
    <dgm:linClrLst>
      <a:srgbClr val="4068B8">
        <a:shade val="80000"/>
      </a:srgbClr>
      <a:srgbClr val="9FAEDC">
        <a:tint val="70000"/>
      </a:srgbClr>
    </dgm:linClrLst>
    <dgm:effectClrLst/>
    <dgm:txLinClrLst/>
    <dgm:txFillClrLst/>
    <dgm:txEffectClrLst/>
  </dgm:styleLbl>
  <dgm:styleLbl name="asst0">
    <dgm:fillClrLst meth="repeat">
      <a:srgbClr val="4068B8">
        <a:shade val="80000"/>
      </a:srgbClr>
    </dgm:fillClrLst>
    <dgm:linClrLst meth="repeat">
      <a:srgbClr val="FFFFFF"/>
    </dgm:linClrLst>
    <dgm:effectClrLst/>
    <dgm:txLinClrLst/>
    <dgm:txFillClrLst/>
    <dgm:txEffectClrLst/>
  </dgm:styleLbl>
  <dgm:styleLbl name="asst1">
    <dgm:fillClrLst meth="repeat">
      <a:srgbClr val="4068B8">
        <a:shade val="80000"/>
      </a:srgbClr>
    </dgm:fillClrLst>
    <dgm:linClrLst meth="repeat">
      <a:srgbClr val="FFFFFF"/>
    </dgm:linClrLst>
    <dgm:effectClrLst/>
    <dgm:txLinClrLst/>
    <dgm:txFillClrLst/>
    <dgm:txEffectClrLst/>
  </dgm:styleLbl>
  <dgm:styleLbl name="asst2">
    <dgm:fillClrLst>
      <a:srgbClr val="4D77CC">
        <a:tint val="99000"/>
      </a:srgbClr>
    </dgm:fillClrLst>
    <dgm:linClrLst meth="repeat">
      <a:srgbClr val="FFFFFF"/>
    </dgm:linClrLst>
    <dgm:effectClrLst/>
    <dgm:txLinClrLst/>
    <dgm:txFillClrLst/>
    <dgm:txEffectClrLst/>
  </dgm:styleLbl>
  <dgm:styleLbl name="asst3">
    <dgm:fillClrLst>
      <a:srgbClr val="899ED7">
        <a:tint val="80000"/>
      </a:srgbClr>
    </dgm:fillClrLst>
    <dgm:linClrLst meth="repeat">
      <a:srgbClr val="FFFFFF"/>
    </dgm:linClrLst>
    <dgm:effectClrLst/>
    <dgm:txLinClrLst/>
    <dgm:txFillClrLst/>
    <dgm:txEffectClrLst/>
  </dgm:styleLbl>
  <dgm:styleLbl name="asst4">
    <dgm:fillClrLst>
      <a:srgbClr val="9FAEDC">
        <a:tint val="70000"/>
      </a:srgbClr>
    </dgm:fillClrLst>
    <dgm:linClrLst meth="repeat">
      <a:srgbClr val="FFFFFF"/>
    </dgm:linClrLst>
    <dgm:effectClrLst/>
    <dgm:txLinClrLst/>
    <dgm:txFillClrLst/>
    <dgm:txEffectClrLst/>
  </dgm:styleLbl>
  <dgm:styleLbl name="bgAcc1">
    <dgm:fillClrLst meth="repeat">
      <a:srgbClr val="FFFFFF">
        <a:alpha val="90000"/>
      </a:srgbClr>
    </dgm:fillClrLst>
    <dgm:linClrLst>
      <a:srgbClr val="4068B8">
        <a:shade val="80000"/>
      </a:srgbClr>
      <a:srgbClr val="9FAEDC">
        <a:tint val="70000"/>
      </a:srgbClr>
    </dgm:linClrLst>
    <dgm:effectClrLst/>
    <dgm:txLinClrLst/>
    <dgm:txFillClrLst meth="repeat">
      <a:srgbClr val="000000"/>
    </dgm:txFillClrLst>
    <dgm:txEffectClrLst/>
  </dgm:styleLbl>
  <dgm:styleLbl name="bgAccFollowNode1">
    <dgm:fillClrLst meth="repeat">
      <a:srgbClr val="CFD6EC">
        <a:alpha val="90000"/>
        <a:tint val="40000"/>
      </a:srgbClr>
    </dgm:fillClrLst>
    <dgm:linClrLst meth="repeat">
      <a:srgbClr val="FFFFFF"/>
    </dgm:linClrLst>
    <dgm:effectClrLst/>
    <dgm:txLinClrLst/>
    <dgm:txFillClrLst meth="repeat">
      <a:srgbClr val="000000"/>
    </dgm:txFillClrLst>
    <dgm:txEffectClrLst/>
  </dgm:styleLbl>
  <dgm:styleLbl name="bgImgPlace1">
    <dgm:fillClrLst>
      <a:srgbClr val="C1C9E7">
        <a:tint val="50000"/>
      </a:srgbClr>
      <a:srgbClr val="E9ECF6">
        <a:tint val="20000"/>
      </a:srgbClr>
    </dgm:fillClrLst>
    <dgm:linClrLst meth="repeat">
      <a:srgbClr val="FFFFFF"/>
    </dgm:linClrLst>
    <dgm:effectClrLst/>
    <dgm:txLinClrLst/>
    <dgm:txFillClrLst meth="repeat">
      <a:srgbClr val="FFFFFF"/>
    </dgm:txFillClrLst>
    <dgm:txEffectClrLst/>
  </dgm:styleLbl>
  <dgm:styleLbl name="bgShp">
    <dgm:fillClrLst meth="repeat">
      <a:srgbClr val="CFD6EC">
        <a:tint val="40000"/>
      </a:srgbClr>
    </dgm:fillClrLst>
    <dgm:linClrLst meth="repeat">
      <a:srgbClr val="000000"/>
    </dgm:linClrLst>
    <dgm:effectClrLst/>
    <dgm:txLinClrLst/>
    <dgm:txFillClrLst meth="repeat">
      <a:srgbClr val="000000"/>
    </dgm:txFillClrLst>
    <dgm:txEffectClrLst/>
  </dgm:styleLbl>
  <dgm:styleLbl name="bgSibTrans2D1">
    <dgm:fillClrLst>
      <a:srgbClr val="446EC2">
        <a:shade val="90000"/>
      </a:srgbClr>
      <a:srgbClr val="9FAEDC">
        <a:tint val="70000"/>
      </a:srgbClr>
    </dgm:fillClrLst>
    <dgm:linClrLst>
      <a:srgbClr val="446EC2">
        <a:shade val="90000"/>
      </a:srgbClr>
      <a:srgbClr val="9FAEDC">
        <a:tint val="70000"/>
      </a:srgbClr>
    </dgm:linClrLst>
    <dgm:effectClrLst/>
    <dgm:txLinClrLst/>
    <dgm:txFillClrLst meth="repeat">
      <a:srgbClr val="FFFFFF"/>
    </dgm:txFillClrLst>
    <dgm:txEffectClrLst/>
  </dgm:styleLbl>
  <dgm:styleLbl name="callout">
    <dgm:fillClrLst meth="repeat">
      <a:srgbClr val="4874CB"/>
    </dgm:fillClrLst>
    <dgm:linClrLst meth="repeat">
      <a:srgbClr val="4874CB"/>
    </dgm:linClrLst>
    <dgm:effectClrLst/>
    <dgm:txLinClrLst/>
    <dgm:txFillClrLst meth="repeat">
      <a:srgbClr val="000000"/>
    </dgm:txFillClrLst>
    <dgm:txEffectClrLst/>
  </dgm:styleLbl>
  <dgm:styleLbl name="conFgAcc1">
    <dgm:fillClrLst meth="repeat">
      <a:srgbClr val="FFFFFF">
        <a:alpha val="90000"/>
      </a:srgbClr>
    </dgm:fillClrLst>
    <dgm:linClrLst>
      <a:srgbClr val="4068B8">
        <a:shade val="80000"/>
      </a:srgbClr>
      <a:srgbClr val="9FAEDC">
        <a:tint val="70000"/>
      </a:srgbClr>
    </dgm:linClrLst>
    <dgm:effectClrLst/>
    <dgm:txLinClrLst/>
    <dgm:txFillClrLst meth="repeat">
      <a:srgbClr val="000000"/>
    </dgm:txFillClrLst>
    <dgm:txEffectClrLst/>
  </dgm:styleLbl>
  <dgm:styleLbl name="dkBgShp">
    <dgm:fillClrLst meth="repeat">
      <a:srgbClr val="446EC2">
        <a:shade val="90000"/>
      </a:srgbClr>
    </dgm:fillClrLst>
    <dgm:linClrLst meth="repeat">
      <a:srgbClr val="000000"/>
    </dgm:linClrLst>
    <dgm:effectClrLst/>
    <dgm:txLinClrLst/>
    <dgm:txFillClrLst meth="repeat">
      <a:srgbClr val="FFFFFF"/>
    </dgm:txFillClrLst>
    <dgm:txEffectClrLst/>
  </dgm:styleLbl>
  <dgm:styleLbl name="fgAcc0">
    <dgm:fillClrLst meth="repeat">
      <a:srgbClr val="FFFFFF">
        <a:alpha val="90000"/>
      </a:srgbClr>
    </dgm:fillClrLst>
    <dgm:linClrLst meth="repeat">
      <a:srgbClr val="4068B8">
        <a:shade val="80000"/>
      </a:srgbClr>
    </dgm:linClrLst>
    <dgm:effectClrLst/>
    <dgm:txLinClrLst/>
    <dgm:txFillClrLst meth="repeat">
      <a:srgbClr val="000000"/>
    </dgm:txFillClrLst>
    <dgm:txEffectClrLst/>
  </dgm:styleLbl>
  <dgm:styleLbl name="fgAcc1">
    <dgm:fillClrLst meth="repeat">
      <a:srgbClr val="FFFFFF">
        <a:alpha val="90000"/>
      </a:srgbClr>
    </dgm:fillClrLst>
    <dgm:linClrLst>
      <a:srgbClr val="4068B8">
        <a:shade val="80000"/>
      </a:srgbClr>
      <a:srgbClr val="9FAEDC">
        <a:tint val="70000"/>
      </a:srgbClr>
    </dgm:linClrLst>
    <dgm:effectClrLst/>
    <dgm:txLinClrLst/>
    <dgm:txFillClrLst meth="repeat">
      <a:srgbClr val="000000"/>
    </dgm:txFillClrLst>
    <dgm:txEffectClrLst/>
  </dgm:styleLbl>
  <dgm:styleLbl name="fgAcc2">
    <dgm:fillClrLst meth="repeat">
      <a:srgbClr val="FFFFFF">
        <a:alpha val="90000"/>
      </a:srgbClr>
    </dgm:fillClrLst>
    <dgm:linClrLst meth="repeat">
      <a:srgbClr val="4D77CC">
        <a:tint val="99000"/>
      </a:srgbClr>
    </dgm:linClrLst>
    <dgm:effectClrLst/>
    <dgm:txLinClrLst/>
    <dgm:txFillClrLst meth="repeat">
      <a:srgbClr val="000000"/>
    </dgm:txFillClrLst>
    <dgm:txEffectClrLst/>
  </dgm:styleLbl>
  <dgm:styleLbl name="fgAcc3">
    <dgm:fillClrLst meth="repeat">
      <a:srgbClr val="FFFFFF">
        <a:alpha val="90000"/>
      </a:srgbClr>
    </dgm:fillClrLst>
    <dgm:linClrLst meth="repeat">
      <a:srgbClr val="899ED7">
        <a:tint val="80000"/>
      </a:srgbClr>
    </dgm:linClrLst>
    <dgm:effectClrLst/>
    <dgm:txLinClrLst/>
    <dgm:txFillClrLst meth="repeat">
      <a:srgbClr val="000000"/>
    </dgm:txFillClrLst>
    <dgm:txEffectClrLst/>
  </dgm:styleLbl>
  <dgm:styleLbl name="fgAcc4">
    <dgm:fillClrLst meth="repeat">
      <a:srgbClr val="FFFFFF">
        <a:alpha val="90000"/>
      </a:srgbClr>
    </dgm:fillClrLst>
    <dgm:linClrLst meth="repeat">
      <a:srgbClr val="9FAEDC">
        <a:tint val="70000"/>
      </a:srgbClr>
    </dgm:linClrLst>
    <dgm:effectClrLst/>
    <dgm:txLinClrLst/>
    <dgm:txFillClrLst meth="repeat">
      <a:srgbClr val="000000"/>
    </dgm:txFillClrLst>
    <dgm:txEffectClrLst/>
  </dgm:styleLbl>
  <dgm:styleLbl name="fgAccFollowNode1">
    <dgm:fillClrLst meth="repeat">
      <a:srgbClr val="CFD6EC">
        <a:alpha val="90000"/>
        <a:tint val="40000"/>
      </a:srgbClr>
    </dgm:fillClrLst>
    <dgm:linClrLst meth="repeat">
      <a:srgbClr val="CFD6EC">
        <a:alpha val="90000"/>
        <a:tint val="40000"/>
      </a:srgbClr>
    </dgm:linClrLst>
    <dgm:effectClrLst/>
    <dgm:txLinClrLst/>
    <dgm:txFillClrLst meth="repeat">
      <a:srgbClr val="000000"/>
    </dgm:txFillClrLst>
    <dgm:txEffectClrLst/>
  </dgm:styleLbl>
  <dgm:styleLbl name="fgImgPlace1">
    <dgm:fillClrLst>
      <a:srgbClr val="C1C9E7">
        <a:tint val="50000"/>
      </a:srgbClr>
      <a:srgbClr val="E9ECF6">
        <a:tint val="20000"/>
      </a:srgbClr>
    </dgm:fillClrLst>
    <dgm:linClrLst meth="repeat">
      <a:srgbClr val="FFFFFF"/>
    </dgm:linClrLst>
    <dgm:effectClrLst/>
    <dgm:txLinClrLst/>
    <dgm:txFillClrLst meth="repeat">
      <a:srgbClr val="FFFFFF"/>
    </dgm:txFillClrLst>
    <dgm:txEffectClrLst/>
  </dgm:styleLbl>
  <dgm:styleLbl name="fgShp">
    <dgm:fillClrLst meth="repeat">
      <a:srgbClr val="CFD6EC">
        <a:tint val="40000"/>
      </a:srgbClr>
    </dgm:fillClrLst>
    <dgm:linClrLst meth="repeat">
      <a:srgbClr val="FFFFFF"/>
    </dgm:linClrLst>
    <dgm:effectClrLst/>
    <dgm:txLinClrLst/>
    <dgm:txFillClrLst meth="repeat">
      <a:srgbClr val="000000"/>
    </dgm:txFillClrLst>
    <dgm:txEffectClrLst/>
  </dgm:styleLbl>
  <dgm:styleLbl name="fgSibTrans2D1">
    <dgm:fillClrLst>
      <a:srgbClr val="446EC2">
        <a:shade val="90000"/>
      </a:srgbClr>
      <a:srgbClr val="9FAEDC">
        <a:tint val="70000"/>
      </a:srgbClr>
    </dgm:fillClrLst>
    <dgm:linClrLst>
      <a:srgbClr val="446EC2">
        <a:shade val="90000"/>
      </a:srgbClr>
      <a:srgbClr val="9FAEDC">
        <a:tint val="70000"/>
      </a:srgbClr>
    </dgm:linClrLst>
    <dgm:effectClrLst/>
    <dgm:txLinClrLst/>
    <dgm:txFillClrLst meth="repeat">
      <a:srgbClr val="FFFFFF"/>
    </dgm:txFillClrLst>
    <dgm:txEffectClrLst/>
  </dgm:styleLbl>
  <dgm:styleLbl name="lnNode1">
    <dgm:fillClrLst>
      <a:srgbClr val="4068B8">
        <a:shade val="80000"/>
      </a:srgbClr>
      <a:srgbClr val="9FAEDC">
        <a:tint val="70000"/>
      </a:srgbClr>
    </dgm:fillClrLst>
    <dgm:linClrLst meth="repeat">
      <a:srgbClr val="FFFFFF"/>
    </dgm:linClrLst>
    <dgm:effectClrLst/>
    <dgm:txLinClrLst/>
    <dgm:txFillClrLst/>
    <dgm:txEffectClrLst/>
  </dgm:styleLbl>
  <dgm:styleLbl name="node0">
    <dgm:fillClrLst meth="repeat">
      <a:srgbClr val="4068B8">
        <a:shade val="80000"/>
      </a:srgbClr>
    </dgm:fillClrLst>
    <dgm:linClrLst meth="repeat">
      <a:srgbClr val="FFFFFF"/>
    </dgm:linClrLst>
    <dgm:effectClrLst/>
    <dgm:txLinClrLst/>
    <dgm:txFillClrLst/>
    <dgm:txEffectClrLst/>
  </dgm:styleLbl>
  <dgm:styleLbl name="node1">
    <dgm:fillClrLst>
      <a:srgbClr val="4068B8">
        <a:shade val="80000"/>
      </a:srgbClr>
      <a:srgbClr val="9FAEDC">
        <a:tint val="70000"/>
      </a:srgbClr>
    </dgm:fillClrLst>
    <dgm:linClrLst meth="repeat">
      <a:srgbClr val="FFFFFF"/>
    </dgm:linClrLst>
    <dgm:effectClrLst/>
    <dgm:txLinClrLst/>
    <dgm:txFillClrLst/>
    <dgm:txEffectClrLst/>
  </dgm:styleLbl>
  <dgm:styleLbl name="node2">
    <dgm:fillClrLst>
      <a:srgbClr val="4D77CC">
        <a:tint val="99000"/>
      </a:srgbClr>
    </dgm:fillClrLst>
    <dgm:linClrLst meth="repeat">
      <a:srgbClr val="FFFFFF"/>
    </dgm:linClrLst>
    <dgm:effectClrLst/>
    <dgm:txLinClrLst/>
    <dgm:txFillClrLst/>
    <dgm:txEffectClrLst/>
  </dgm:styleLbl>
  <dgm:styleLbl name="node3">
    <dgm:fillClrLst>
      <a:srgbClr val="899ED7">
        <a:tint val="80000"/>
      </a:srgbClr>
    </dgm:fillClrLst>
    <dgm:linClrLst meth="repeat">
      <a:srgbClr val="FFFFFF"/>
    </dgm:linClrLst>
    <dgm:effectClrLst/>
    <dgm:txLinClrLst/>
    <dgm:txFillClrLst/>
    <dgm:txEffectClrLst/>
  </dgm:styleLbl>
  <dgm:styleLbl name="node4">
    <dgm:fillClrLst>
      <a:srgbClr val="9FAEDC">
        <a:tint val="70000"/>
      </a:srgbClr>
    </dgm:fillClrLst>
    <dgm:linClrLst meth="repeat">
      <a:srgbClr val="FFFFFF"/>
    </dgm:linClrLst>
    <dgm:effectClrLst/>
    <dgm:txLinClrLst/>
    <dgm:txFillClrLst/>
    <dgm:txEffectClrLst/>
  </dgm:styleLbl>
  <dgm:styleLbl name="parChTrans1D1">
    <dgm:fillClrLst meth="repeat">
      <a:srgbClr val="4068B8">
        <a:shade val="80000"/>
      </a:srgbClr>
    </dgm:fillClrLst>
    <dgm:linClrLst meth="repeat">
      <a:srgbClr val="4068B8">
        <a:shade val="80000"/>
      </a:srgbClr>
    </dgm:linClrLst>
    <dgm:effectClrLst/>
    <dgm:txLinClrLst/>
    <dgm:txFillClrLst meth="repeat">
      <a:srgbClr val="000000"/>
    </dgm:txFillClrLst>
    <dgm:txEffectClrLst/>
  </dgm:styleLbl>
  <dgm:styleLbl name="parChTrans1D2">
    <dgm:fillClrLst meth="repeat">
      <a:srgbClr val="4D77CC">
        <a:tint val="99000"/>
      </a:srgbClr>
    </dgm:fillClrLst>
    <dgm:linClrLst meth="repeat">
      <a:srgbClr val="4D77CC">
        <a:tint val="99000"/>
      </a:srgbClr>
    </dgm:linClrLst>
    <dgm:effectClrLst/>
    <dgm:txLinClrLst/>
    <dgm:txFillClrLst meth="repeat">
      <a:srgbClr val="000000"/>
    </dgm:txFillClrLst>
    <dgm:txEffectClrLst/>
  </dgm:styleLbl>
  <dgm:styleLbl name="parChTrans1D3">
    <dgm:fillClrLst meth="repeat">
      <a:srgbClr val="899ED7">
        <a:tint val="80000"/>
      </a:srgbClr>
    </dgm:fillClrLst>
    <dgm:linClrLst meth="repeat">
      <a:srgbClr val="899ED7">
        <a:tint val="80000"/>
      </a:srgbClr>
    </dgm:linClrLst>
    <dgm:effectClrLst/>
    <dgm:txLinClrLst/>
    <dgm:txFillClrLst meth="repeat">
      <a:srgbClr val="000000"/>
    </dgm:txFillClrLst>
    <dgm:txEffectClrLst/>
  </dgm:styleLbl>
  <dgm:styleLbl name="parChTrans1D4">
    <dgm:fillClrLst meth="repeat">
      <a:srgbClr val="9FAEDC">
        <a:tint val="70000"/>
      </a:srgbClr>
    </dgm:fillClrLst>
    <dgm:linClrLst meth="repeat">
      <a:srgbClr val="9FAEDC">
        <a:tint val="70000"/>
      </a:srgbClr>
    </dgm:linClrLst>
    <dgm:effectClrLst/>
    <dgm:txLinClrLst/>
    <dgm:txFillClrLst meth="repeat">
      <a:srgbClr val="000000"/>
    </dgm:txFillClrLst>
    <dgm:txEffectClrLst/>
  </dgm:styleLbl>
  <dgm:styleLbl name="parChTrans2D1">
    <dgm:fillClrLst meth="repeat">
      <a:srgbClr val="B1BCE2">
        <a:tint val="60000"/>
      </a:srgbClr>
    </dgm:fillClrLst>
    <dgm:linClrLst meth="repeat">
      <a:srgbClr val="B1BCE2">
        <a:tint val="60000"/>
      </a:srgbClr>
    </dgm:linClrLst>
    <dgm:effectClrLst/>
    <dgm:txLinClrLst/>
    <dgm:txFillClrLst meth="repeat">
      <a:srgbClr val="FFFFFF"/>
    </dgm:txFillClrLst>
    <dgm:txEffectClrLst/>
  </dgm:styleLbl>
  <dgm:styleLbl name="parChTrans2D2">
    <dgm:fillClrLst meth="repeat">
      <a:srgbClr val="6F8BD1">
        <a:tint val="90000"/>
      </a:srgbClr>
    </dgm:fillClrLst>
    <dgm:linClrLst meth="repeat">
      <a:srgbClr val="6F8BD1">
        <a:tint val="90000"/>
      </a:srgbClr>
    </dgm:linClrLst>
    <dgm:effectClrLst/>
    <dgm:txLinClrLst/>
    <dgm:txFillClrLst/>
    <dgm:txEffectClrLst/>
  </dgm:styleLbl>
  <dgm:styleLbl name="parChTrans2D3">
    <dgm:fillClrLst meth="repeat">
      <a:srgbClr val="9FAEDC">
        <a:tint val="70000"/>
      </a:srgbClr>
    </dgm:fillClrLst>
    <dgm:linClrLst meth="repeat">
      <a:srgbClr val="9FAEDC">
        <a:tint val="70000"/>
      </a:srgbClr>
    </dgm:linClrLst>
    <dgm:effectClrLst/>
    <dgm:txLinClrLst/>
    <dgm:txFillClrLst/>
    <dgm:txEffectClrLst/>
  </dgm:styleLbl>
  <dgm:styleLbl name="parChTrans2D4">
    <dgm:fillClrLst meth="repeat">
      <a:srgbClr val="C1C9E7">
        <a:tint val="50000"/>
      </a:srgbClr>
    </dgm:fillClrLst>
    <dgm:linClrLst meth="repeat">
      <a:srgbClr val="C1C9E7">
        <a:tint val="50000"/>
      </a:srgbClr>
    </dgm:linClrLst>
    <dgm:effectClrLst/>
    <dgm:txLinClrLst/>
    <dgm:txFillClrLst meth="repeat">
      <a:srgbClr val="FFFFFF"/>
    </dgm:txFillClrLst>
    <dgm:txEffectClrLst/>
  </dgm:styleLbl>
  <dgm:styleLbl name="revTx">
    <dgm:fillClrLst meth="repeat">
      <a:srgbClr val="FFFFFF">
        <a:alpha val="0"/>
      </a:srgbClr>
    </dgm:fillClrLst>
    <dgm:linClrLst meth="repeat">
      <a:srgbClr val="000000">
        <a:alpha val="0"/>
      </a:srgbClr>
    </dgm:linClrLst>
    <dgm:effectClrLst/>
    <dgm:txLinClrLst/>
    <dgm:txFillClrLst meth="repeat">
      <a:srgbClr val="000000"/>
    </dgm:txFillClrLst>
    <dgm:txEffectClrLst/>
  </dgm:styleLbl>
  <dgm:styleLbl name="sibTrans1D1">
    <dgm:fillClrLst>
      <a:srgbClr val="446EC2">
        <a:shade val="90000"/>
      </a:srgbClr>
      <a:srgbClr val="9FAEDC">
        <a:tint val="70000"/>
      </a:srgbClr>
    </dgm:fillClrLst>
    <dgm:linClrLst>
      <a:srgbClr val="446EC2">
        <a:shade val="90000"/>
      </a:srgbClr>
      <a:srgbClr val="9FAEDC">
        <a:tint val="70000"/>
      </a:srgbClr>
    </dgm:linClrLst>
    <dgm:effectClrLst/>
    <dgm:txLinClrLst/>
    <dgm:txFillClrLst meth="repeat">
      <a:srgbClr val="000000"/>
    </dgm:txFillClrLst>
    <dgm:txEffectClrLst/>
  </dgm:styleLbl>
  <dgm:styleLbl name="sibTrans2D1">
    <dgm:fillClrLst>
      <a:srgbClr val="446EC2">
        <a:shade val="90000"/>
      </a:srgbClr>
      <a:srgbClr val="9FAEDC">
        <a:tint val="70000"/>
      </a:srgbClr>
    </dgm:fillClrLst>
    <dgm:linClrLst>
      <a:srgbClr val="446EC2">
        <a:shade val="90000"/>
      </a:srgbClr>
      <a:srgbClr val="9FAEDC">
        <a:tint val="70000"/>
      </a:srgbClr>
    </dgm:linClrLst>
    <dgm:effectClrLst/>
    <dgm:txLinClrLst/>
    <dgm:txFillClrLst/>
    <dgm:txEffectClrLst/>
  </dgm:styleLbl>
  <dgm:styleLbl name="solidAlignAcc1">
    <dgm:fillClrLst meth="repeat">
      <a:srgbClr val="FFFFFF"/>
    </dgm:fillClrLst>
    <dgm:linClrLst meth="repeat">
      <a:srgbClr val="4874CB"/>
    </dgm:linClrLst>
    <dgm:effectClrLst/>
    <dgm:txLinClrLst/>
    <dgm:txFillClrLst meth="repeat">
      <a:srgbClr val="000000"/>
    </dgm:txFillClrLst>
    <dgm:txEffectClrLst/>
  </dgm:styleLbl>
  <dgm:styleLbl name="solidBgAcc1">
    <dgm:fillClrLst meth="repeat">
      <a:srgbClr val="FFFFFF"/>
    </dgm:fillClrLst>
    <dgm:linClrLst meth="repeat">
      <a:srgbClr val="4874CB"/>
    </dgm:linClrLst>
    <dgm:effectClrLst/>
    <dgm:txLinClrLst/>
    <dgm:txFillClrLst meth="repeat">
      <a:srgbClr val="000000"/>
    </dgm:txFillClrLst>
    <dgm:txEffectClrLst/>
  </dgm:styleLbl>
  <dgm:styleLbl name="solidFgAcc1">
    <dgm:fillClrLst meth="repeat">
      <a:srgbClr val="FFFFFF"/>
    </dgm:fillClrLst>
    <dgm:linClrLst>
      <a:srgbClr val="4068B8">
        <a:shade val="80000"/>
      </a:srgbClr>
      <a:srgbClr val="9FAEDC">
        <a:tint val="70000"/>
      </a:srgbClr>
    </dgm:linClrLst>
    <dgm:effectClrLst/>
    <dgm:txLinClrLst/>
    <dgm:txFillClrLst meth="repeat">
      <a:srgbClr val="000000"/>
    </dgm:txFillClrLst>
    <dgm:txEffectClrLst/>
  </dgm:styleLbl>
  <dgm:styleLbl name="trAlignAcc1">
    <dgm:fillClrLst meth="repeat">
      <a:srgbClr val="FFFFFF">
        <a:alpha val="40000"/>
      </a:srgbClr>
    </dgm:fillClrLst>
    <dgm:linClrLst meth="repeat">
      <a:srgbClr val="4874CB"/>
    </dgm:linClrLst>
    <dgm:effectClrLst/>
    <dgm:txLinClrLst/>
    <dgm:txFillClrLst meth="repeat">
      <a:srgbClr val="000000"/>
    </dgm:txFillClrLst>
    <dgm:txEffectClrLst/>
  </dgm:styleLbl>
  <dgm:styleLbl name="trBgShp">
    <dgm:fillClrLst meth="repeat">
      <a:srgbClr val="C1C9E7">
        <a:tint val="50000"/>
        <a:alpha val="40000"/>
      </a:srgbClr>
    </dgm:fillClrLst>
    <dgm:linClrLst meth="repeat">
      <a:srgbClr val="4874CB"/>
    </dgm:linClrLst>
    <dgm:effectClrLst/>
    <dgm:txLinClrLst/>
    <dgm:txFillClrLst meth="repeat">
      <a:srgbClr val="FFFFFF"/>
    </dgm:txFillClrLst>
    <dgm:txEffectClrLst/>
  </dgm:styleLbl>
  <dgm:styleLbl name="vennNode1">
    <dgm:fillClrLst>
      <a:srgbClr val="4068B8">
        <a:shade val="80000"/>
        <a:alpha val="50000"/>
      </a:srgbClr>
      <a:srgbClr val="9FAEDC">
        <a:tint val="70000"/>
        <a:alpha val="50000"/>
      </a:srgbClr>
    </dgm:fillClrLst>
    <dgm:linClrLst meth="repeat">
      <a:srgbClr val="FFFFFF"/>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CC2A87B4-205C-42AA-93A2-B27FC303620D}" type="doc">
      <dgm:prSet loTypeId="urn:microsoft.com/office/officeart/2005/8/layout/cycle6#1" loCatId="cycle" qsTypeId="urn:microsoft.com/office/officeart/2005/8/quickstyle/simple1#1" qsCatId="simple" csTypeId="urn:microsoft.com/office/officeart/2005/8/colors/accent1_3#1" csCatId="accent1" phldr="0"/>
      <dgm:spPr/>
      <dgm:t>
        <a:bodyPr/>
        <a:lstStyle/>
        <a:p>
          <a:endParaRPr lang="zh-CN" altLang="en-US"/>
        </a:p>
      </dgm:t>
    </dgm:pt>
    <dgm:pt modelId="{660A22A7-37CA-4B7E-87AA-E35BA5B82556}">
      <dgm:prSet phldrT="[文本]" phldr="0" custT="1"/>
      <dgm:spPr/>
      <dgm:t>
        <a:bodyPr vert="horz" wrap="square"/>
        <a:lstStyle/>
        <a:p>
          <a:pPr>
            <a:lnSpc>
              <a:spcPct val="100000"/>
            </a:lnSpc>
            <a:spcBef>
              <a:spcPct val="0"/>
            </a:spcBef>
            <a:spcAft>
              <a:spcPct val="35000"/>
            </a:spcAft>
          </a:pPr>
          <a:r>
            <a:rPr lang="zh-CN" altLang="en-US" sz="1050" b="1">
              <a:latin typeface="楷体" charset="0"/>
              <a:ea typeface="楷体" charset="0"/>
            </a:rPr>
            <a:t>亲历实践</a:t>
          </a:r>
        </a:p>
      </dgm:t>
    </dgm:pt>
    <dgm:pt modelId="{AEDCC0F0-F7D6-45D4-984A-B50E110C9D1F}" type="parTrans" cxnId="{62E60B73-3646-4BA4-8F5B-8C4E179EDBD2}">
      <dgm:prSet/>
      <dgm:spPr/>
      <dgm:t>
        <a:bodyPr/>
        <a:lstStyle/>
        <a:p>
          <a:endParaRPr lang="zh-CN" altLang="en-US"/>
        </a:p>
      </dgm:t>
    </dgm:pt>
    <dgm:pt modelId="{CF218E85-BB5C-4FD9-8936-583B930F1946}" type="sibTrans" cxnId="{62E60B73-3646-4BA4-8F5B-8C4E179EDBD2}">
      <dgm:prSet/>
      <dgm:spPr/>
      <dgm:t>
        <a:bodyPr/>
        <a:lstStyle/>
        <a:p>
          <a:endParaRPr lang="zh-CN" altLang="en-US"/>
        </a:p>
      </dgm:t>
    </dgm:pt>
    <dgm:pt modelId="{2747EF35-EB19-40B2-B72B-1D28E27677E0}">
      <dgm:prSet phldrT="[文本]" phldr="0" custT="1"/>
      <dgm:spPr/>
      <dgm:t>
        <a:bodyPr vert="horz" wrap="square"/>
        <a:lstStyle/>
        <a:p>
          <a:pPr>
            <a:lnSpc>
              <a:spcPct val="100000"/>
            </a:lnSpc>
            <a:spcBef>
              <a:spcPct val="0"/>
            </a:spcBef>
            <a:spcAft>
              <a:spcPct val="35000"/>
            </a:spcAft>
          </a:pPr>
          <a:r>
            <a:rPr lang="zh-CN" altLang="en-US" sz="1050">
              <a:latin typeface="楷体" charset="0"/>
              <a:ea typeface="楷体" charset="0"/>
            </a:rPr>
            <a:t>深度反思</a:t>
          </a:r>
        </a:p>
      </dgm:t>
    </dgm:pt>
    <dgm:pt modelId="{E8C0C942-F96C-429E-AD44-E4BA5D9680C7}" type="parTrans" cxnId="{EAC9FDDC-1A43-473F-9BD0-33AAFBC13CDC}">
      <dgm:prSet/>
      <dgm:spPr/>
      <dgm:t>
        <a:bodyPr/>
        <a:lstStyle/>
        <a:p>
          <a:endParaRPr lang="zh-CN" altLang="en-US"/>
        </a:p>
      </dgm:t>
    </dgm:pt>
    <dgm:pt modelId="{BFFDCB46-D59E-46B2-9C53-DB1ADB0299CC}" type="sibTrans" cxnId="{EAC9FDDC-1A43-473F-9BD0-33AAFBC13CDC}">
      <dgm:prSet/>
      <dgm:spPr/>
      <dgm:t>
        <a:bodyPr/>
        <a:lstStyle/>
        <a:p>
          <a:endParaRPr lang="zh-CN" altLang="en-US"/>
        </a:p>
      </dgm:t>
    </dgm:pt>
    <dgm:pt modelId="{B95FB8A5-B612-47B6-989C-9D7BD89F6E18}">
      <dgm:prSet phldrT="[文本]" phldr="0" custT="1"/>
      <dgm:spPr/>
      <dgm:t>
        <a:bodyPr vert="horz" wrap="square"/>
        <a:lstStyle/>
        <a:p>
          <a:pPr>
            <a:lnSpc>
              <a:spcPct val="100000"/>
            </a:lnSpc>
            <a:spcBef>
              <a:spcPct val="0"/>
            </a:spcBef>
            <a:spcAft>
              <a:spcPct val="35000"/>
            </a:spcAft>
          </a:pPr>
          <a:r>
            <a:rPr lang="zh-CN" altLang="en-US" sz="1000">
              <a:latin typeface="楷体" charset="0"/>
              <a:ea typeface="楷体" charset="0"/>
            </a:rPr>
            <a:t>理论提炼</a:t>
          </a:r>
        </a:p>
      </dgm:t>
    </dgm:pt>
    <dgm:pt modelId="{1784B15E-8B7A-426B-89B2-02867972B4B8}" type="parTrans" cxnId="{B82B95B4-0492-4B01-9F83-34576EE2FF99}">
      <dgm:prSet/>
      <dgm:spPr/>
      <dgm:t>
        <a:bodyPr/>
        <a:lstStyle/>
        <a:p>
          <a:endParaRPr lang="zh-CN" altLang="en-US"/>
        </a:p>
      </dgm:t>
    </dgm:pt>
    <dgm:pt modelId="{16734FCF-6F10-445A-B6BC-27E3ED457274}" type="sibTrans" cxnId="{B82B95B4-0492-4B01-9F83-34576EE2FF99}">
      <dgm:prSet/>
      <dgm:spPr/>
      <dgm:t>
        <a:bodyPr/>
        <a:lstStyle/>
        <a:p>
          <a:endParaRPr lang="zh-CN" altLang="en-US"/>
        </a:p>
      </dgm:t>
    </dgm:pt>
    <dgm:pt modelId="{2B78A2B5-DCEA-4AFC-B14F-1F24A1DED97A}">
      <dgm:prSet phldrT="[文本]" phldr="0" custT="1"/>
      <dgm:spPr/>
      <dgm:t>
        <a:bodyPr vert="horz" wrap="square"/>
        <a:lstStyle/>
        <a:p>
          <a:pPr>
            <a:lnSpc>
              <a:spcPct val="100000"/>
            </a:lnSpc>
            <a:spcBef>
              <a:spcPct val="0"/>
            </a:spcBef>
            <a:spcAft>
              <a:spcPct val="35000"/>
            </a:spcAft>
          </a:pPr>
          <a:r>
            <a:rPr lang="zh-CN" altLang="en-US" sz="1050">
              <a:latin typeface="楷体" charset="0"/>
              <a:ea typeface="楷体" charset="0"/>
            </a:rPr>
            <a:t>实证检验</a:t>
          </a:r>
        </a:p>
      </dgm:t>
    </dgm:pt>
    <dgm:pt modelId="{3E7F7A29-9086-4454-9597-B1A82629FFC8}" type="parTrans" cxnId="{C2DAB2BA-5371-48FA-8248-9CAB586CD20A}">
      <dgm:prSet/>
      <dgm:spPr/>
      <dgm:t>
        <a:bodyPr/>
        <a:lstStyle/>
        <a:p>
          <a:endParaRPr lang="zh-CN" altLang="en-US"/>
        </a:p>
      </dgm:t>
    </dgm:pt>
    <dgm:pt modelId="{70BDE6F6-3261-4753-9D1B-53909242F67D}" type="sibTrans" cxnId="{C2DAB2BA-5371-48FA-8248-9CAB586CD20A}">
      <dgm:prSet/>
      <dgm:spPr/>
      <dgm:t>
        <a:bodyPr/>
        <a:lstStyle/>
        <a:p>
          <a:endParaRPr lang="zh-CN" altLang="en-US"/>
        </a:p>
      </dgm:t>
    </dgm:pt>
    <dgm:pt modelId="{40AFDA9D-288C-4D29-8AFA-37C0C30C8FF6}">
      <dgm:prSet phldrT="[文本]" phldr="0" custT="1"/>
      <dgm:spPr/>
      <dgm:t>
        <a:bodyPr vert="horz" wrap="square"/>
        <a:lstStyle/>
        <a:p>
          <a:pPr>
            <a:lnSpc>
              <a:spcPct val="100000"/>
            </a:lnSpc>
            <a:spcBef>
              <a:spcPct val="0"/>
            </a:spcBef>
            <a:spcAft>
              <a:spcPct val="35000"/>
            </a:spcAft>
          </a:pPr>
          <a:r>
            <a:rPr lang="zh-CN" altLang="en-US" sz="1050">
              <a:latin typeface="楷体" charset="0"/>
              <a:ea typeface="楷体" charset="0"/>
            </a:rPr>
            <a:t>交流分享</a:t>
          </a:r>
        </a:p>
      </dgm:t>
    </dgm:pt>
    <dgm:pt modelId="{4C1C0800-F64C-44F0-9787-17FB1271D0FC}" type="parTrans" cxnId="{1A4F4E20-42B7-49D0-A46A-F175BCE4C3FE}">
      <dgm:prSet/>
      <dgm:spPr/>
      <dgm:t>
        <a:bodyPr/>
        <a:lstStyle/>
        <a:p>
          <a:endParaRPr lang="zh-CN" altLang="en-US"/>
        </a:p>
      </dgm:t>
    </dgm:pt>
    <dgm:pt modelId="{7FCDBF79-0B4F-4621-8364-C0B41DDF9713}" type="sibTrans" cxnId="{1A4F4E20-42B7-49D0-A46A-F175BCE4C3FE}">
      <dgm:prSet/>
      <dgm:spPr/>
      <dgm:t>
        <a:bodyPr/>
        <a:lstStyle/>
        <a:p>
          <a:endParaRPr lang="zh-CN" altLang="en-US"/>
        </a:p>
      </dgm:t>
    </dgm:pt>
    <dgm:pt modelId="{29B1A426-955E-4736-B687-185D7EEE5F7F}">
      <dgm:prSet phldr="0" custT="1"/>
      <dgm:spPr/>
      <dgm:t>
        <a:bodyPr vert="horz" wrap="square"/>
        <a:lstStyle/>
        <a:p>
          <a:pPr>
            <a:lnSpc>
              <a:spcPct val="100000"/>
            </a:lnSpc>
            <a:spcBef>
              <a:spcPct val="0"/>
            </a:spcBef>
            <a:spcAft>
              <a:spcPct val="35000"/>
            </a:spcAft>
          </a:pPr>
          <a:r>
            <a:rPr lang="zh-CN" sz="1050">
              <a:latin typeface="楷体" charset="0"/>
              <a:ea typeface="楷体" charset="0"/>
            </a:rPr>
            <a:t>认知重构</a:t>
          </a:r>
          <a:endParaRPr lang="zh-CN" altLang="en-US" sz="1050">
            <a:latin typeface="楷体" charset="0"/>
            <a:ea typeface="楷体" charset="0"/>
          </a:endParaRPr>
        </a:p>
      </dgm:t>
    </dgm:pt>
    <dgm:pt modelId="{E5D8CECD-3011-4119-BF2A-391BFE5E051B}" type="parTrans" cxnId="{94886ADB-DA77-492C-B0DA-41BC3B520CAC}">
      <dgm:prSet/>
      <dgm:spPr/>
      <dgm:t>
        <a:bodyPr/>
        <a:lstStyle/>
        <a:p>
          <a:endParaRPr lang="zh-CN" altLang="en-US"/>
        </a:p>
      </dgm:t>
    </dgm:pt>
    <dgm:pt modelId="{A2E58EDF-FC7C-4FA8-A8AC-948FF1247FD5}" type="sibTrans" cxnId="{94886ADB-DA77-492C-B0DA-41BC3B520CAC}">
      <dgm:prSet/>
      <dgm:spPr/>
      <dgm:t>
        <a:bodyPr/>
        <a:lstStyle/>
        <a:p>
          <a:endParaRPr lang="zh-CN" altLang="en-US"/>
        </a:p>
      </dgm:t>
    </dgm:pt>
    <dgm:pt modelId="{2984A8B6-85E9-40AE-8B81-BA8B58477DF2}" type="pres">
      <dgm:prSet presAssocID="{CC2A87B4-205C-42AA-93A2-B27FC303620D}" presName="cycle" presStyleCnt="0">
        <dgm:presLayoutVars>
          <dgm:dir/>
          <dgm:resizeHandles val="exact"/>
        </dgm:presLayoutVars>
      </dgm:prSet>
      <dgm:spPr/>
    </dgm:pt>
    <dgm:pt modelId="{70BF45C1-8091-454A-8203-C06A7B7590F9}" type="pres">
      <dgm:prSet presAssocID="{660A22A7-37CA-4B7E-87AA-E35BA5B82556}" presName="node" presStyleLbl="node1" presStyleIdx="0" presStyleCnt="6">
        <dgm:presLayoutVars>
          <dgm:bulletEnabled val="1"/>
        </dgm:presLayoutVars>
      </dgm:prSet>
      <dgm:spPr/>
    </dgm:pt>
    <dgm:pt modelId="{E9AD9DBB-BD76-47E5-B3B5-DCAABDF708B4}" type="pres">
      <dgm:prSet presAssocID="{660A22A7-37CA-4B7E-87AA-E35BA5B82556}" presName="spNode" presStyleCnt="0"/>
      <dgm:spPr/>
    </dgm:pt>
    <dgm:pt modelId="{FACB0322-C0E5-47B2-A30E-4E65DACE54AB}" type="pres">
      <dgm:prSet presAssocID="{CF218E85-BB5C-4FD9-8936-583B930F1946}" presName="sibTrans" presStyleLbl="sibTrans1D1" presStyleIdx="0" presStyleCnt="6"/>
      <dgm:spPr/>
    </dgm:pt>
    <dgm:pt modelId="{5B56F173-CF60-49FA-B101-E6B505C28F2C}" type="pres">
      <dgm:prSet presAssocID="{2747EF35-EB19-40B2-B72B-1D28E27677E0}" presName="node" presStyleLbl="node1" presStyleIdx="1" presStyleCnt="6">
        <dgm:presLayoutVars>
          <dgm:bulletEnabled val="1"/>
        </dgm:presLayoutVars>
      </dgm:prSet>
      <dgm:spPr/>
    </dgm:pt>
    <dgm:pt modelId="{FA1B1F1F-4290-44F6-B614-7DA04C6968EA}" type="pres">
      <dgm:prSet presAssocID="{2747EF35-EB19-40B2-B72B-1D28E27677E0}" presName="spNode" presStyleCnt="0"/>
      <dgm:spPr/>
    </dgm:pt>
    <dgm:pt modelId="{890F09E1-A5FD-4242-968C-AD8148ADBA80}" type="pres">
      <dgm:prSet presAssocID="{BFFDCB46-D59E-46B2-9C53-DB1ADB0299CC}" presName="sibTrans" presStyleLbl="sibTrans1D1" presStyleIdx="1" presStyleCnt="6"/>
      <dgm:spPr/>
    </dgm:pt>
    <dgm:pt modelId="{F4F0857E-A2A2-4C44-8D9E-738F53CA34B0}" type="pres">
      <dgm:prSet presAssocID="{B95FB8A5-B612-47B6-989C-9D7BD89F6E18}" presName="node" presStyleLbl="node1" presStyleIdx="2" presStyleCnt="6">
        <dgm:presLayoutVars>
          <dgm:bulletEnabled val="1"/>
        </dgm:presLayoutVars>
      </dgm:prSet>
      <dgm:spPr/>
    </dgm:pt>
    <dgm:pt modelId="{B43530C4-5C4D-4873-9C40-D1060ACD455B}" type="pres">
      <dgm:prSet presAssocID="{B95FB8A5-B612-47B6-989C-9D7BD89F6E18}" presName="spNode" presStyleCnt="0"/>
      <dgm:spPr/>
    </dgm:pt>
    <dgm:pt modelId="{947E10C1-872E-48ED-A8EA-CDF548C9E170}" type="pres">
      <dgm:prSet presAssocID="{16734FCF-6F10-445A-B6BC-27E3ED457274}" presName="sibTrans" presStyleLbl="sibTrans1D1" presStyleIdx="2" presStyleCnt="6"/>
      <dgm:spPr/>
    </dgm:pt>
    <dgm:pt modelId="{9B1E3B87-CFEF-48C3-B3ED-22B7722DA4B2}" type="pres">
      <dgm:prSet presAssocID="{2B78A2B5-DCEA-4AFC-B14F-1F24A1DED97A}" presName="node" presStyleLbl="node1" presStyleIdx="3" presStyleCnt="6">
        <dgm:presLayoutVars>
          <dgm:bulletEnabled val="1"/>
        </dgm:presLayoutVars>
      </dgm:prSet>
      <dgm:spPr/>
    </dgm:pt>
    <dgm:pt modelId="{5DA43FA6-2782-48E4-882C-5BEA84898403}" type="pres">
      <dgm:prSet presAssocID="{2B78A2B5-DCEA-4AFC-B14F-1F24A1DED97A}" presName="spNode" presStyleCnt="0"/>
      <dgm:spPr/>
    </dgm:pt>
    <dgm:pt modelId="{D354920F-3C18-4773-98FE-F5105B0C4655}" type="pres">
      <dgm:prSet presAssocID="{70BDE6F6-3261-4753-9D1B-53909242F67D}" presName="sibTrans" presStyleLbl="sibTrans1D1" presStyleIdx="3" presStyleCnt="6"/>
      <dgm:spPr/>
    </dgm:pt>
    <dgm:pt modelId="{4A533BBB-6BEA-429E-8541-03477BCE8622}" type="pres">
      <dgm:prSet presAssocID="{40AFDA9D-288C-4D29-8AFA-37C0C30C8FF6}" presName="node" presStyleLbl="node1" presStyleIdx="4" presStyleCnt="6">
        <dgm:presLayoutVars>
          <dgm:bulletEnabled val="1"/>
        </dgm:presLayoutVars>
      </dgm:prSet>
      <dgm:spPr/>
    </dgm:pt>
    <dgm:pt modelId="{E2DD3598-5153-4C35-949B-5E7B3A92DCE7}" type="pres">
      <dgm:prSet presAssocID="{40AFDA9D-288C-4D29-8AFA-37C0C30C8FF6}" presName="spNode" presStyleCnt="0"/>
      <dgm:spPr/>
    </dgm:pt>
    <dgm:pt modelId="{80375E59-737B-41DF-B3C9-E8361D136FF9}" type="pres">
      <dgm:prSet presAssocID="{7FCDBF79-0B4F-4621-8364-C0B41DDF9713}" presName="sibTrans" presStyleLbl="sibTrans1D1" presStyleIdx="4" presStyleCnt="6"/>
      <dgm:spPr/>
    </dgm:pt>
    <dgm:pt modelId="{2790D104-CCF5-425C-B4B7-6FDA732E351D}" type="pres">
      <dgm:prSet presAssocID="{29B1A426-955E-4736-B687-185D7EEE5F7F}" presName="node" presStyleLbl="node1" presStyleIdx="5" presStyleCnt="6">
        <dgm:presLayoutVars>
          <dgm:bulletEnabled val="1"/>
        </dgm:presLayoutVars>
      </dgm:prSet>
      <dgm:spPr/>
    </dgm:pt>
    <dgm:pt modelId="{A8B3A668-CC69-4CA9-AD6E-689E53E89D8C}" type="pres">
      <dgm:prSet presAssocID="{29B1A426-955E-4736-B687-185D7EEE5F7F}" presName="spNode" presStyleCnt="0"/>
      <dgm:spPr/>
    </dgm:pt>
    <dgm:pt modelId="{136AE453-DEDD-4FF9-9D82-EB8F2FA7170B}" type="pres">
      <dgm:prSet presAssocID="{A2E58EDF-FC7C-4FA8-A8AC-948FF1247FD5}" presName="sibTrans" presStyleLbl="sibTrans1D1" presStyleIdx="5" presStyleCnt="6"/>
      <dgm:spPr/>
    </dgm:pt>
  </dgm:ptLst>
  <dgm:cxnLst>
    <dgm:cxn modelId="{35A49505-E518-45CC-BC83-0A625E725380}" type="presOf" srcId="{29B1A426-955E-4736-B687-185D7EEE5F7F}" destId="{2790D104-CCF5-425C-B4B7-6FDA732E351D}" srcOrd="0" destOrd="0" presId="urn:microsoft.com/office/officeart/2005/8/layout/cycle6#1"/>
    <dgm:cxn modelId="{1A4F4E20-42B7-49D0-A46A-F175BCE4C3FE}" srcId="{CC2A87B4-205C-42AA-93A2-B27FC303620D}" destId="{40AFDA9D-288C-4D29-8AFA-37C0C30C8FF6}" srcOrd="4" destOrd="0" parTransId="{4C1C0800-F64C-44F0-9787-17FB1271D0FC}" sibTransId="{7FCDBF79-0B4F-4621-8364-C0B41DDF9713}"/>
    <dgm:cxn modelId="{3ADE5A30-0A3A-40A9-B0C5-574FD1884366}" type="presOf" srcId="{A2E58EDF-FC7C-4FA8-A8AC-948FF1247FD5}" destId="{136AE453-DEDD-4FF9-9D82-EB8F2FA7170B}" srcOrd="0" destOrd="0" presId="urn:microsoft.com/office/officeart/2005/8/layout/cycle6#1"/>
    <dgm:cxn modelId="{5C11385D-74DA-471A-AA86-E528C933E7A1}" type="presOf" srcId="{2747EF35-EB19-40B2-B72B-1D28E27677E0}" destId="{5B56F173-CF60-49FA-B101-E6B505C28F2C}" srcOrd="0" destOrd="0" presId="urn:microsoft.com/office/officeart/2005/8/layout/cycle6#1"/>
    <dgm:cxn modelId="{A1917D48-61BE-41AE-A93A-8A9A09582A71}" type="presOf" srcId="{CC2A87B4-205C-42AA-93A2-B27FC303620D}" destId="{2984A8B6-85E9-40AE-8B81-BA8B58477DF2}" srcOrd="0" destOrd="0" presId="urn:microsoft.com/office/officeart/2005/8/layout/cycle6#1"/>
    <dgm:cxn modelId="{4343B94D-807A-4A01-89DC-D19D3907440B}" type="presOf" srcId="{40AFDA9D-288C-4D29-8AFA-37C0C30C8FF6}" destId="{4A533BBB-6BEA-429E-8541-03477BCE8622}" srcOrd="0" destOrd="0" presId="urn:microsoft.com/office/officeart/2005/8/layout/cycle6#1"/>
    <dgm:cxn modelId="{62E60B73-3646-4BA4-8F5B-8C4E179EDBD2}" srcId="{CC2A87B4-205C-42AA-93A2-B27FC303620D}" destId="{660A22A7-37CA-4B7E-87AA-E35BA5B82556}" srcOrd="0" destOrd="0" parTransId="{AEDCC0F0-F7D6-45D4-984A-B50E110C9D1F}" sibTransId="{CF218E85-BB5C-4FD9-8936-583B930F1946}"/>
    <dgm:cxn modelId="{D1C0EC78-4499-47C3-8B83-F6BE55244366}" type="presOf" srcId="{70BDE6F6-3261-4753-9D1B-53909242F67D}" destId="{D354920F-3C18-4773-98FE-F5105B0C4655}" srcOrd="0" destOrd="0" presId="urn:microsoft.com/office/officeart/2005/8/layout/cycle6#1"/>
    <dgm:cxn modelId="{CAF1837A-6DEB-4D03-AEA3-25E993C7E7FE}" type="presOf" srcId="{BFFDCB46-D59E-46B2-9C53-DB1ADB0299CC}" destId="{890F09E1-A5FD-4242-968C-AD8148ADBA80}" srcOrd="0" destOrd="0" presId="urn:microsoft.com/office/officeart/2005/8/layout/cycle6#1"/>
    <dgm:cxn modelId="{58E9B284-32E8-45CD-BDF7-B5BF26CBF6F7}" type="presOf" srcId="{16734FCF-6F10-445A-B6BC-27E3ED457274}" destId="{947E10C1-872E-48ED-A8EA-CDF548C9E170}" srcOrd="0" destOrd="0" presId="urn:microsoft.com/office/officeart/2005/8/layout/cycle6#1"/>
    <dgm:cxn modelId="{88457F8B-22E1-4DE4-87DB-61574B40668B}" type="presOf" srcId="{7FCDBF79-0B4F-4621-8364-C0B41DDF9713}" destId="{80375E59-737B-41DF-B3C9-E8361D136FF9}" srcOrd="0" destOrd="0" presId="urn:microsoft.com/office/officeart/2005/8/layout/cycle6#1"/>
    <dgm:cxn modelId="{241BA6AE-E9C2-4FD5-AAA2-CE9DA3AB0447}" type="presOf" srcId="{B95FB8A5-B612-47B6-989C-9D7BD89F6E18}" destId="{F4F0857E-A2A2-4C44-8D9E-738F53CA34B0}" srcOrd="0" destOrd="0" presId="urn:microsoft.com/office/officeart/2005/8/layout/cycle6#1"/>
    <dgm:cxn modelId="{B82B95B4-0492-4B01-9F83-34576EE2FF99}" srcId="{CC2A87B4-205C-42AA-93A2-B27FC303620D}" destId="{B95FB8A5-B612-47B6-989C-9D7BD89F6E18}" srcOrd="2" destOrd="0" parTransId="{1784B15E-8B7A-426B-89B2-02867972B4B8}" sibTransId="{16734FCF-6F10-445A-B6BC-27E3ED457274}"/>
    <dgm:cxn modelId="{C2DAB2BA-5371-48FA-8248-9CAB586CD20A}" srcId="{CC2A87B4-205C-42AA-93A2-B27FC303620D}" destId="{2B78A2B5-DCEA-4AFC-B14F-1F24A1DED97A}" srcOrd="3" destOrd="0" parTransId="{3E7F7A29-9086-4454-9597-B1A82629FFC8}" sibTransId="{70BDE6F6-3261-4753-9D1B-53909242F67D}"/>
    <dgm:cxn modelId="{8F85C9D0-67E2-437A-A850-B3F7FE68994A}" type="presOf" srcId="{660A22A7-37CA-4B7E-87AA-E35BA5B82556}" destId="{70BF45C1-8091-454A-8203-C06A7B7590F9}" srcOrd="0" destOrd="0" presId="urn:microsoft.com/office/officeart/2005/8/layout/cycle6#1"/>
    <dgm:cxn modelId="{2BC34BD7-0C99-4542-B7CE-945B313AE1A4}" type="presOf" srcId="{2B78A2B5-DCEA-4AFC-B14F-1F24A1DED97A}" destId="{9B1E3B87-CFEF-48C3-B3ED-22B7722DA4B2}" srcOrd="0" destOrd="0" presId="urn:microsoft.com/office/officeart/2005/8/layout/cycle6#1"/>
    <dgm:cxn modelId="{94886ADB-DA77-492C-B0DA-41BC3B520CAC}" srcId="{CC2A87B4-205C-42AA-93A2-B27FC303620D}" destId="{29B1A426-955E-4736-B687-185D7EEE5F7F}" srcOrd="5" destOrd="0" parTransId="{E5D8CECD-3011-4119-BF2A-391BFE5E051B}" sibTransId="{A2E58EDF-FC7C-4FA8-A8AC-948FF1247FD5}"/>
    <dgm:cxn modelId="{EAC9FDDC-1A43-473F-9BD0-33AAFBC13CDC}" srcId="{CC2A87B4-205C-42AA-93A2-B27FC303620D}" destId="{2747EF35-EB19-40B2-B72B-1D28E27677E0}" srcOrd="1" destOrd="0" parTransId="{E8C0C942-F96C-429E-AD44-E4BA5D9680C7}" sibTransId="{BFFDCB46-D59E-46B2-9C53-DB1ADB0299CC}"/>
    <dgm:cxn modelId="{BBEADDEE-9E07-4388-A0A4-5763A0358C64}" type="presOf" srcId="{CF218E85-BB5C-4FD9-8936-583B930F1946}" destId="{FACB0322-C0E5-47B2-A30E-4E65DACE54AB}" srcOrd="0" destOrd="0" presId="urn:microsoft.com/office/officeart/2005/8/layout/cycle6#1"/>
    <dgm:cxn modelId="{8FBAC682-6FE9-4455-8A8D-7965FD2D8497}" type="presParOf" srcId="{2984A8B6-85E9-40AE-8B81-BA8B58477DF2}" destId="{70BF45C1-8091-454A-8203-C06A7B7590F9}" srcOrd="0" destOrd="0" presId="urn:microsoft.com/office/officeart/2005/8/layout/cycle6#1"/>
    <dgm:cxn modelId="{E71D3713-972E-4489-B63D-C93242FE5D9B}" type="presParOf" srcId="{2984A8B6-85E9-40AE-8B81-BA8B58477DF2}" destId="{E9AD9DBB-BD76-47E5-B3B5-DCAABDF708B4}" srcOrd="1" destOrd="0" presId="urn:microsoft.com/office/officeart/2005/8/layout/cycle6#1"/>
    <dgm:cxn modelId="{ABF7A497-A20C-4D19-822B-380FB3725330}" type="presParOf" srcId="{2984A8B6-85E9-40AE-8B81-BA8B58477DF2}" destId="{FACB0322-C0E5-47B2-A30E-4E65DACE54AB}" srcOrd="2" destOrd="0" presId="urn:microsoft.com/office/officeart/2005/8/layout/cycle6#1"/>
    <dgm:cxn modelId="{4C3C13F0-D024-4EB0-82F1-9989C8A19082}" type="presParOf" srcId="{2984A8B6-85E9-40AE-8B81-BA8B58477DF2}" destId="{5B56F173-CF60-49FA-B101-E6B505C28F2C}" srcOrd="3" destOrd="0" presId="urn:microsoft.com/office/officeart/2005/8/layout/cycle6#1"/>
    <dgm:cxn modelId="{C78D9BCF-E0B1-4AE8-B56A-79C3240E8C85}" type="presParOf" srcId="{2984A8B6-85E9-40AE-8B81-BA8B58477DF2}" destId="{FA1B1F1F-4290-44F6-B614-7DA04C6968EA}" srcOrd="4" destOrd="0" presId="urn:microsoft.com/office/officeart/2005/8/layout/cycle6#1"/>
    <dgm:cxn modelId="{6FF90F75-5DD2-4F30-BE51-D4EA2A749540}" type="presParOf" srcId="{2984A8B6-85E9-40AE-8B81-BA8B58477DF2}" destId="{890F09E1-A5FD-4242-968C-AD8148ADBA80}" srcOrd="5" destOrd="0" presId="urn:microsoft.com/office/officeart/2005/8/layout/cycle6#1"/>
    <dgm:cxn modelId="{CD0EB8BE-8283-4A9E-95D2-670334C46BFC}" type="presParOf" srcId="{2984A8B6-85E9-40AE-8B81-BA8B58477DF2}" destId="{F4F0857E-A2A2-4C44-8D9E-738F53CA34B0}" srcOrd="6" destOrd="0" presId="urn:microsoft.com/office/officeart/2005/8/layout/cycle6#1"/>
    <dgm:cxn modelId="{E842C050-E2BE-479C-B5AB-D95611461A74}" type="presParOf" srcId="{2984A8B6-85E9-40AE-8B81-BA8B58477DF2}" destId="{B43530C4-5C4D-4873-9C40-D1060ACD455B}" srcOrd="7" destOrd="0" presId="urn:microsoft.com/office/officeart/2005/8/layout/cycle6#1"/>
    <dgm:cxn modelId="{EC550023-F427-41BB-B818-4FF6ACA5DE66}" type="presParOf" srcId="{2984A8B6-85E9-40AE-8B81-BA8B58477DF2}" destId="{947E10C1-872E-48ED-A8EA-CDF548C9E170}" srcOrd="8" destOrd="0" presId="urn:microsoft.com/office/officeart/2005/8/layout/cycle6#1"/>
    <dgm:cxn modelId="{765579E4-D32B-4292-BFA1-F87E739FEA27}" type="presParOf" srcId="{2984A8B6-85E9-40AE-8B81-BA8B58477DF2}" destId="{9B1E3B87-CFEF-48C3-B3ED-22B7722DA4B2}" srcOrd="9" destOrd="0" presId="urn:microsoft.com/office/officeart/2005/8/layout/cycle6#1"/>
    <dgm:cxn modelId="{6B45CFB1-64E4-4A66-9B62-8626D4FB9999}" type="presParOf" srcId="{2984A8B6-85E9-40AE-8B81-BA8B58477DF2}" destId="{5DA43FA6-2782-48E4-882C-5BEA84898403}" srcOrd="10" destOrd="0" presId="urn:microsoft.com/office/officeart/2005/8/layout/cycle6#1"/>
    <dgm:cxn modelId="{74597F41-B782-4D51-8BA6-7C4B54D6B7AB}" type="presParOf" srcId="{2984A8B6-85E9-40AE-8B81-BA8B58477DF2}" destId="{D354920F-3C18-4773-98FE-F5105B0C4655}" srcOrd="11" destOrd="0" presId="urn:microsoft.com/office/officeart/2005/8/layout/cycle6#1"/>
    <dgm:cxn modelId="{1A0FBF82-4E94-4FD8-8A52-3C2ACD03B3A7}" type="presParOf" srcId="{2984A8B6-85E9-40AE-8B81-BA8B58477DF2}" destId="{4A533BBB-6BEA-429E-8541-03477BCE8622}" srcOrd="12" destOrd="0" presId="urn:microsoft.com/office/officeart/2005/8/layout/cycle6#1"/>
    <dgm:cxn modelId="{0C04194C-86B7-4B26-A9B3-165C7BB9E766}" type="presParOf" srcId="{2984A8B6-85E9-40AE-8B81-BA8B58477DF2}" destId="{E2DD3598-5153-4C35-949B-5E7B3A92DCE7}" srcOrd="13" destOrd="0" presId="urn:microsoft.com/office/officeart/2005/8/layout/cycle6#1"/>
    <dgm:cxn modelId="{B4D4F7E5-D6F9-491D-87FC-EA10D3A43A76}" type="presParOf" srcId="{2984A8B6-85E9-40AE-8B81-BA8B58477DF2}" destId="{80375E59-737B-41DF-B3C9-E8361D136FF9}" srcOrd="14" destOrd="0" presId="urn:microsoft.com/office/officeart/2005/8/layout/cycle6#1"/>
    <dgm:cxn modelId="{141E014D-5B46-45B7-BFDA-47CDC4CDAD67}" type="presParOf" srcId="{2984A8B6-85E9-40AE-8B81-BA8B58477DF2}" destId="{2790D104-CCF5-425C-B4B7-6FDA732E351D}" srcOrd="15" destOrd="0" presId="urn:microsoft.com/office/officeart/2005/8/layout/cycle6#1"/>
    <dgm:cxn modelId="{A521B494-1C45-4F57-A4FD-445939A79035}" type="presParOf" srcId="{2984A8B6-85E9-40AE-8B81-BA8B58477DF2}" destId="{A8B3A668-CC69-4CA9-AD6E-689E53E89D8C}" srcOrd="16" destOrd="0" presId="urn:microsoft.com/office/officeart/2005/8/layout/cycle6#1"/>
    <dgm:cxn modelId="{544D1442-32F9-4D75-B822-00635AFDF493}" type="presParOf" srcId="{2984A8B6-85E9-40AE-8B81-BA8B58477DF2}" destId="{136AE453-DEDD-4FF9-9D82-EB8F2FA7170B}" srcOrd="17" destOrd="0" presId="urn:microsoft.com/office/officeart/2005/8/layout/cycle6#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BF45C1-8091-454A-8203-C06A7B7590F9}">
      <dsp:nvSpPr>
        <dsp:cNvPr id="0" name=""/>
        <dsp:cNvSpPr/>
      </dsp:nvSpPr>
      <dsp:spPr bwMode="white">
        <a:xfrm>
          <a:off x="1721320" y="1214"/>
          <a:ext cx="512774" cy="333303"/>
        </a:xfrm>
        <a:prstGeom prst="roundRect">
          <a:avLst/>
        </a:prstGeom>
        <a:solidFill>
          <a:srgbClr val="4068B8">
            <a:shade val="80000"/>
            <a:hueOff val="0"/>
            <a:satOff val="0"/>
            <a:lumOff val="0"/>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rgbClr val="FFFFFF"/>
        </a:fontRef>
      </dsp:style>
      <dsp:txBody>
        <a:bodyPr spcFirstLastPara="0" vert="horz" wrap="square" lIns="41910" tIns="41910" rIns="41910" bIns="41910" numCol="1" spcCol="1270" anchor="ctr" anchorCtr="0">
          <a:noAutofit/>
        </a:bodyPr>
        <a:lstStyle/>
        <a:p>
          <a:pPr marL="0" lvl="0" indent="0" algn="ctr" defTabSz="466725">
            <a:lnSpc>
              <a:spcPct val="100000"/>
            </a:lnSpc>
            <a:spcBef>
              <a:spcPct val="0"/>
            </a:spcBef>
            <a:spcAft>
              <a:spcPct val="35000"/>
            </a:spcAft>
            <a:buNone/>
          </a:pPr>
          <a:r>
            <a:rPr lang="zh-CN" altLang="en-US" sz="1050" b="1" kern="1200">
              <a:latin typeface="楷体" charset="0"/>
              <a:ea typeface="楷体" charset="0"/>
            </a:rPr>
            <a:t>亲历实践</a:t>
          </a:r>
        </a:p>
      </dsp:txBody>
      <dsp:txXfrm>
        <a:off x="1737591" y="17485"/>
        <a:ext cx="480232" cy="300761"/>
      </dsp:txXfrm>
    </dsp:sp>
    <dsp:sp modelId="{FACB0322-C0E5-47B2-A30E-4E65DACE54AB}">
      <dsp:nvSpPr>
        <dsp:cNvPr id="0" name=""/>
        <dsp:cNvSpPr/>
      </dsp:nvSpPr>
      <dsp:spPr>
        <a:xfrm>
          <a:off x="1193073" y="167866"/>
          <a:ext cx="1569267" cy="1569267"/>
        </a:xfrm>
        <a:custGeom>
          <a:avLst/>
          <a:gdLst/>
          <a:ahLst/>
          <a:cxnLst/>
          <a:rect l="0" t="0" r="0" b="0"/>
          <a:pathLst>
            <a:path>
              <a:moveTo>
                <a:pt x="1044291" y="44209"/>
              </a:moveTo>
              <a:arcTo wR="784633" hR="784633" stAng="17359509" swAng="1499514"/>
            </a:path>
          </a:pathLst>
        </a:custGeom>
        <a:noFill/>
        <a:ln w="12700" cap="flat" cmpd="sng" algn="ctr">
          <a:solidFill>
            <a:srgbClr val="446EC2">
              <a:shade val="9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5B56F173-CF60-49FA-B101-E6B505C28F2C}">
      <dsp:nvSpPr>
        <dsp:cNvPr id="0" name=""/>
        <dsp:cNvSpPr/>
      </dsp:nvSpPr>
      <dsp:spPr bwMode="white">
        <a:xfrm>
          <a:off x="2400832" y="393531"/>
          <a:ext cx="512774" cy="333303"/>
        </a:xfrm>
        <a:prstGeom prst="roundRect">
          <a:avLst/>
        </a:prstGeom>
        <a:solidFill>
          <a:srgbClr val="4068B8">
            <a:shade val="80000"/>
            <a:hueOff val="76326"/>
            <a:satOff val="-1066"/>
            <a:lumOff val="7932"/>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rgbClr val="FFFFFF"/>
        </a:fontRef>
      </dsp:style>
      <dsp:txBody>
        <a:bodyPr spcFirstLastPara="0" vert="horz" wrap="square" lIns="41910" tIns="41910" rIns="41910" bIns="41910" numCol="1" spcCol="1270" anchor="ctr" anchorCtr="0">
          <a:noAutofit/>
        </a:bodyPr>
        <a:lstStyle/>
        <a:p>
          <a:pPr marL="0" lvl="0" indent="0" algn="ctr" defTabSz="466725">
            <a:lnSpc>
              <a:spcPct val="100000"/>
            </a:lnSpc>
            <a:spcBef>
              <a:spcPct val="0"/>
            </a:spcBef>
            <a:spcAft>
              <a:spcPct val="35000"/>
            </a:spcAft>
            <a:buNone/>
          </a:pPr>
          <a:r>
            <a:rPr lang="zh-CN" altLang="en-US" sz="1050" kern="1200">
              <a:latin typeface="楷体" charset="0"/>
              <a:ea typeface="楷体" charset="0"/>
            </a:rPr>
            <a:t>深度反思</a:t>
          </a:r>
        </a:p>
      </dsp:txBody>
      <dsp:txXfrm>
        <a:off x="2417103" y="409802"/>
        <a:ext cx="480232" cy="300761"/>
      </dsp:txXfrm>
    </dsp:sp>
    <dsp:sp modelId="{890F09E1-A5FD-4242-968C-AD8148ADBA80}">
      <dsp:nvSpPr>
        <dsp:cNvPr id="0" name=""/>
        <dsp:cNvSpPr/>
      </dsp:nvSpPr>
      <dsp:spPr>
        <a:xfrm>
          <a:off x="1193073" y="167866"/>
          <a:ext cx="1569267" cy="1569267"/>
        </a:xfrm>
        <a:custGeom>
          <a:avLst/>
          <a:gdLst/>
          <a:ahLst/>
          <a:cxnLst/>
          <a:rect l="0" t="0" r="0" b="0"/>
          <a:pathLst>
            <a:path>
              <a:moveTo>
                <a:pt x="1537401" y="563294"/>
              </a:moveTo>
              <a:arcTo wR="784633" hR="784633" stAng="20616895" swAng="1966211"/>
            </a:path>
          </a:pathLst>
        </a:custGeom>
        <a:noFill/>
        <a:ln w="12700" cap="flat" cmpd="sng" algn="ctr">
          <a:solidFill>
            <a:srgbClr val="446EC2">
              <a:shade val="90000"/>
              <a:hueOff val="76356"/>
              <a:satOff val="-946"/>
              <a:lumOff val="6910"/>
              <a:alphaOff val="0"/>
            </a:srgbClr>
          </a:solidFill>
          <a:prstDash val="solid"/>
          <a:miter lim="800000"/>
        </a:ln>
        <a:effectLst/>
      </dsp:spPr>
      <dsp:style>
        <a:lnRef idx="1">
          <a:scrgbClr r="0" g="0" b="0"/>
        </a:lnRef>
        <a:fillRef idx="0">
          <a:scrgbClr r="0" g="0" b="0"/>
        </a:fillRef>
        <a:effectRef idx="0">
          <a:scrgbClr r="0" g="0" b="0"/>
        </a:effectRef>
        <a:fontRef idx="minor"/>
      </dsp:style>
    </dsp:sp>
    <dsp:sp modelId="{F4F0857E-A2A2-4C44-8D9E-738F53CA34B0}">
      <dsp:nvSpPr>
        <dsp:cNvPr id="0" name=""/>
        <dsp:cNvSpPr/>
      </dsp:nvSpPr>
      <dsp:spPr bwMode="white">
        <a:xfrm>
          <a:off x="2400832" y="1178165"/>
          <a:ext cx="512774" cy="333303"/>
        </a:xfrm>
        <a:prstGeom prst="roundRect">
          <a:avLst/>
        </a:prstGeom>
        <a:solidFill>
          <a:srgbClr val="4068B8">
            <a:shade val="80000"/>
            <a:hueOff val="152652"/>
            <a:satOff val="-2132"/>
            <a:lumOff val="15863"/>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rgbClr val="FFFFFF"/>
        </a:fontRef>
      </dsp:style>
      <dsp:txBody>
        <a:bodyPr spcFirstLastPara="0" vert="horz" wrap="square" lIns="38100" tIns="38100" rIns="38100" bIns="38100" numCol="1" spcCol="1270" anchor="ctr" anchorCtr="0">
          <a:noAutofit/>
        </a:bodyPr>
        <a:lstStyle/>
        <a:p>
          <a:pPr marL="0" lvl="0" indent="0" algn="ctr" defTabSz="444500">
            <a:lnSpc>
              <a:spcPct val="100000"/>
            </a:lnSpc>
            <a:spcBef>
              <a:spcPct val="0"/>
            </a:spcBef>
            <a:spcAft>
              <a:spcPct val="35000"/>
            </a:spcAft>
            <a:buNone/>
          </a:pPr>
          <a:r>
            <a:rPr lang="zh-CN" altLang="en-US" sz="1000" kern="1200">
              <a:latin typeface="楷体" charset="0"/>
              <a:ea typeface="楷体" charset="0"/>
            </a:rPr>
            <a:t>理论提炼</a:t>
          </a:r>
        </a:p>
      </dsp:txBody>
      <dsp:txXfrm>
        <a:off x="2417103" y="1194436"/>
        <a:ext cx="480232" cy="300761"/>
      </dsp:txXfrm>
    </dsp:sp>
    <dsp:sp modelId="{947E10C1-872E-48ED-A8EA-CDF548C9E170}">
      <dsp:nvSpPr>
        <dsp:cNvPr id="0" name=""/>
        <dsp:cNvSpPr/>
      </dsp:nvSpPr>
      <dsp:spPr>
        <a:xfrm>
          <a:off x="1193073" y="167866"/>
          <a:ext cx="1569267" cy="1569267"/>
        </a:xfrm>
        <a:custGeom>
          <a:avLst/>
          <a:gdLst/>
          <a:ahLst/>
          <a:cxnLst/>
          <a:rect l="0" t="0" r="0" b="0"/>
          <a:pathLst>
            <a:path>
              <a:moveTo>
                <a:pt x="1332800" y="1346027"/>
              </a:moveTo>
              <a:arcTo wR="784633" hR="784633" stAng="2740977" swAng="1499514"/>
            </a:path>
          </a:pathLst>
        </a:custGeom>
        <a:noFill/>
        <a:ln w="12700" cap="flat" cmpd="sng" algn="ctr">
          <a:solidFill>
            <a:srgbClr val="446EC2">
              <a:shade val="90000"/>
              <a:hueOff val="152713"/>
              <a:satOff val="-1892"/>
              <a:lumOff val="13820"/>
              <a:alphaOff val="0"/>
            </a:srgbClr>
          </a:solidFill>
          <a:prstDash val="solid"/>
          <a:miter lim="800000"/>
        </a:ln>
        <a:effectLst/>
      </dsp:spPr>
      <dsp:style>
        <a:lnRef idx="1">
          <a:scrgbClr r="0" g="0" b="0"/>
        </a:lnRef>
        <a:fillRef idx="0">
          <a:scrgbClr r="0" g="0" b="0"/>
        </a:fillRef>
        <a:effectRef idx="0">
          <a:scrgbClr r="0" g="0" b="0"/>
        </a:effectRef>
        <a:fontRef idx="minor"/>
      </dsp:style>
    </dsp:sp>
    <dsp:sp modelId="{9B1E3B87-CFEF-48C3-B3ED-22B7722DA4B2}">
      <dsp:nvSpPr>
        <dsp:cNvPr id="0" name=""/>
        <dsp:cNvSpPr/>
      </dsp:nvSpPr>
      <dsp:spPr bwMode="white">
        <a:xfrm>
          <a:off x="1721320" y="1570481"/>
          <a:ext cx="512774" cy="333303"/>
        </a:xfrm>
        <a:prstGeom prst="roundRect">
          <a:avLst/>
        </a:prstGeom>
        <a:solidFill>
          <a:srgbClr val="4068B8">
            <a:shade val="80000"/>
            <a:hueOff val="228978"/>
            <a:satOff val="-3199"/>
            <a:lumOff val="23795"/>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rgbClr val="FFFFFF"/>
        </a:fontRef>
      </dsp:style>
      <dsp:txBody>
        <a:bodyPr spcFirstLastPara="0" vert="horz" wrap="square" lIns="41910" tIns="41910" rIns="41910" bIns="41910" numCol="1" spcCol="1270" anchor="ctr" anchorCtr="0">
          <a:noAutofit/>
        </a:bodyPr>
        <a:lstStyle/>
        <a:p>
          <a:pPr marL="0" lvl="0" indent="0" algn="ctr" defTabSz="466725">
            <a:lnSpc>
              <a:spcPct val="100000"/>
            </a:lnSpc>
            <a:spcBef>
              <a:spcPct val="0"/>
            </a:spcBef>
            <a:spcAft>
              <a:spcPct val="35000"/>
            </a:spcAft>
            <a:buNone/>
          </a:pPr>
          <a:r>
            <a:rPr lang="zh-CN" altLang="en-US" sz="1050" kern="1200">
              <a:latin typeface="楷体" charset="0"/>
              <a:ea typeface="楷体" charset="0"/>
            </a:rPr>
            <a:t>实证检验</a:t>
          </a:r>
        </a:p>
      </dsp:txBody>
      <dsp:txXfrm>
        <a:off x="1737591" y="1586752"/>
        <a:ext cx="480232" cy="300761"/>
      </dsp:txXfrm>
    </dsp:sp>
    <dsp:sp modelId="{D354920F-3C18-4773-98FE-F5105B0C4655}">
      <dsp:nvSpPr>
        <dsp:cNvPr id="0" name=""/>
        <dsp:cNvSpPr/>
      </dsp:nvSpPr>
      <dsp:spPr>
        <a:xfrm>
          <a:off x="1193073" y="167866"/>
          <a:ext cx="1569267" cy="1569267"/>
        </a:xfrm>
        <a:custGeom>
          <a:avLst/>
          <a:gdLst/>
          <a:ahLst/>
          <a:cxnLst/>
          <a:rect l="0" t="0" r="0" b="0"/>
          <a:pathLst>
            <a:path>
              <a:moveTo>
                <a:pt x="524975" y="1525057"/>
              </a:moveTo>
              <a:arcTo wR="784633" hR="784633" stAng="6559509" swAng="1499514"/>
            </a:path>
          </a:pathLst>
        </a:custGeom>
        <a:noFill/>
        <a:ln w="12700" cap="flat" cmpd="sng" algn="ctr">
          <a:solidFill>
            <a:srgbClr val="446EC2">
              <a:shade val="90000"/>
              <a:hueOff val="229069"/>
              <a:satOff val="-2837"/>
              <a:lumOff val="20731"/>
              <a:alphaOff val="0"/>
            </a:srgbClr>
          </a:solidFill>
          <a:prstDash val="solid"/>
          <a:miter lim="800000"/>
        </a:ln>
        <a:effectLst/>
      </dsp:spPr>
      <dsp:style>
        <a:lnRef idx="1">
          <a:scrgbClr r="0" g="0" b="0"/>
        </a:lnRef>
        <a:fillRef idx="0">
          <a:scrgbClr r="0" g="0" b="0"/>
        </a:fillRef>
        <a:effectRef idx="0">
          <a:scrgbClr r="0" g="0" b="0"/>
        </a:effectRef>
        <a:fontRef idx="minor"/>
      </dsp:style>
    </dsp:sp>
    <dsp:sp modelId="{4A533BBB-6BEA-429E-8541-03477BCE8622}">
      <dsp:nvSpPr>
        <dsp:cNvPr id="0" name=""/>
        <dsp:cNvSpPr/>
      </dsp:nvSpPr>
      <dsp:spPr bwMode="white">
        <a:xfrm>
          <a:off x="1041807" y="1178165"/>
          <a:ext cx="512774" cy="333303"/>
        </a:xfrm>
        <a:prstGeom prst="roundRect">
          <a:avLst/>
        </a:prstGeom>
        <a:solidFill>
          <a:srgbClr val="4068B8">
            <a:shade val="80000"/>
            <a:hueOff val="305303"/>
            <a:satOff val="-4265"/>
            <a:lumOff val="31726"/>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rgbClr val="FFFFFF"/>
        </a:fontRef>
      </dsp:style>
      <dsp:txBody>
        <a:bodyPr spcFirstLastPara="0" vert="horz" wrap="square" lIns="41910" tIns="41910" rIns="41910" bIns="41910" numCol="1" spcCol="1270" anchor="ctr" anchorCtr="0">
          <a:noAutofit/>
        </a:bodyPr>
        <a:lstStyle/>
        <a:p>
          <a:pPr marL="0" lvl="0" indent="0" algn="ctr" defTabSz="466725">
            <a:lnSpc>
              <a:spcPct val="100000"/>
            </a:lnSpc>
            <a:spcBef>
              <a:spcPct val="0"/>
            </a:spcBef>
            <a:spcAft>
              <a:spcPct val="35000"/>
            </a:spcAft>
            <a:buNone/>
          </a:pPr>
          <a:r>
            <a:rPr lang="zh-CN" altLang="en-US" sz="1050" kern="1200">
              <a:latin typeface="楷体" charset="0"/>
              <a:ea typeface="楷体" charset="0"/>
            </a:rPr>
            <a:t>交流分享</a:t>
          </a:r>
        </a:p>
      </dsp:txBody>
      <dsp:txXfrm>
        <a:off x="1058078" y="1194436"/>
        <a:ext cx="480232" cy="300761"/>
      </dsp:txXfrm>
    </dsp:sp>
    <dsp:sp modelId="{80375E59-737B-41DF-B3C9-E8361D136FF9}">
      <dsp:nvSpPr>
        <dsp:cNvPr id="0" name=""/>
        <dsp:cNvSpPr/>
      </dsp:nvSpPr>
      <dsp:spPr>
        <a:xfrm>
          <a:off x="1193073" y="167866"/>
          <a:ext cx="1569267" cy="1569267"/>
        </a:xfrm>
        <a:custGeom>
          <a:avLst/>
          <a:gdLst/>
          <a:ahLst/>
          <a:cxnLst/>
          <a:rect l="0" t="0" r="0" b="0"/>
          <a:pathLst>
            <a:path>
              <a:moveTo>
                <a:pt x="31865" y="1005972"/>
              </a:moveTo>
              <a:arcTo wR="784633" hR="784633" stAng="9816895" swAng="1966211"/>
            </a:path>
          </a:pathLst>
        </a:custGeom>
        <a:noFill/>
        <a:ln w="12700" cap="flat" cmpd="sng" algn="ctr">
          <a:solidFill>
            <a:srgbClr val="446EC2">
              <a:shade val="90000"/>
              <a:hueOff val="305426"/>
              <a:satOff val="-3783"/>
              <a:lumOff val="27641"/>
              <a:alphaOff val="0"/>
            </a:srgbClr>
          </a:solidFill>
          <a:prstDash val="solid"/>
          <a:miter lim="800000"/>
        </a:ln>
        <a:effectLst/>
      </dsp:spPr>
      <dsp:style>
        <a:lnRef idx="1">
          <a:scrgbClr r="0" g="0" b="0"/>
        </a:lnRef>
        <a:fillRef idx="0">
          <a:scrgbClr r="0" g="0" b="0"/>
        </a:fillRef>
        <a:effectRef idx="0">
          <a:scrgbClr r="0" g="0" b="0"/>
        </a:effectRef>
        <a:fontRef idx="minor"/>
      </dsp:style>
    </dsp:sp>
    <dsp:sp modelId="{2790D104-CCF5-425C-B4B7-6FDA732E351D}">
      <dsp:nvSpPr>
        <dsp:cNvPr id="0" name=""/>
        <dsp:cNvSpPr/>
      </dsp:nvSpPr>
      <dsp:spPr bwMode="white">
        <a:xfrm>
          <a:off x="1041807" y="393531"/>
          <a:ext cx="512774" cy="333303"/>
        </a:xfrm>
        <a:prstGeom prst="roundRect">
          <a:avLst/>
        </a:prstGeom>
        <a:solidFill>
          <a:srgbClr val="4068B8">
            <a:shade val="80000"/>
            <a:hueOff val="381629"/>
            <a:satOff val="-5331"/>
            <a:lumOff val="39658"/>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rgbClr val="FFFFFF"/>
        </a:fontRef>
      </dsp:style>
      <dsp:txBody>
        <a:bodyPr spcFirstLastPara="0" vert="horz" wrap="square" lIns="41910" tIns="41910" rIns="41910" bIns="41910" numCol="1" spcCol="1270" anchor="ctr" anchorCtr="0">
          <a:noAutofit/>
        </a:bodyPr>
        <a:lstStyle/>
        <a:p>
          <a:pPr marL="0" lvl="0" indent="0" algn="ctr" defTabSz="466725">
            <a:lnSpc>
              <a:spcPct val="100000"/>
            </a:lnSpc>
            <a:spcBef>
              <a:spcPct val="0"/>
            </a:spcBef>
            <a:spcAft>
              <a:spcPct val="35000"/>
            </a:spcAft>
            <a:buNone/>
          </a:pPr>
          <a:r>
            <a:rPr lang="zh-CN" sz="1050" kern="1200">
              <a:latin typeface="楷体" charset="0"/>
              <a:ea typeface="楷体" charset="0"/>
            </a:rPr>
            <a:t>认知重构</a:t>
          </a:r>
          <a:endParaRPr lang="zh-CN" altLang="en-US" sz="1050" kern="1200">
            <a:latin typeface="楷体" charset="0"/>
            <a:ea typeface="楷体" charset="0"/>
          </a:endParaRPr>
        </a:p>
      </dsp:txBody>
      <dsp:txXfrm>
        <a:off x="1058078" y="409802"/>
        <a:ext cx="480232" cy="300761"/>
      </dsp:txXfrm>
    </dsp:sp>
    <dsp:sp modelId="{136AE453-DEDD-4FF9-9D82-EB8F2FA7170B}">
      <dsp:nvSpPr>
        <dsp:cNvPr id="0" name=""/>
        <dsp:cNvSpPr/>
      </dsp:nvSpPr>
      <dsp:spPr>
        <a:xfrm>
          <a:off x="1193073" y="167866"/>
          <a:ext cx="1569267" cy="1569267"/>
        </a:xfrm>
        <a:custGeom>
          <a:avLst/>
          <a:gdLst/>
          <a:ahLst/>
          <a:cxnLst/>
          <a:rect l="0" t="0" r="0" b="0"/>
          <a:pathLst>
            <a:path>
              <a:moveTo>
                <a:pt x="236466" y="223240"/>
              </a:moveTo>
              <a:arcTo wR="784633" hR="784633" stAng="13540977" swAng="1499514"/>
            </a:path>
          </a:pathLst>
        </a:custGeom>
        <a:noFill/>
        <a:ln w="12700" cap="flat" cmpd="sng" algn="ctr">
          <a:solidFill>
            <a:srgbClr val="446EC2">
              <a:shade val="90000"/>
              <a:hueOff val="381782"/>
              <a:satOff val="-4729"/>
              <a:lumOff val="34551"/>
              <a:alphaOff val="0"/>
            </a:srgb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1">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rSet qsTypeId="urn:microsoft.com/office/officeart/2005/8/quickstyle/simple5"/>
        </dgm:pt>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rSet csTypeId="urn:microsoft.com/office/officeart/2005/8/colors/accent6_5"/>
        </dgm:pt>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endSty" val="noArr"/>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rgbClr val="FFFFFF"/>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rgbClr val="FFFFFF"/>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rgbClr val="FFFFFF"/>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rgbClr val="FFFFFF"/>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rgbClr val="FFFFFF"/>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rgbClr val="FFFFFF"/>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rgbClr val="FFFFFF"/>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rgbClr val="FFFFFF"/>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rgbClr val="FFFFFF"/>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rgbClr val="FFFFFF"/>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rgbClr val="FFFFFF"/>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rgbClr val="FFFFFF"/>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rgbClr val="FFFFFF"/>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rgbClr val="FFFFFF"/>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rgbClr val="FFFFFF"/>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rgbClr val="FFFFFF"/>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rgbClr val="FFFFFF"/>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rgbClr val="FFFFFF"/>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rgbClr val="FFFFFF"/>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rgbClr val="000000"/>
      </a:fontRef>
    </dgm:style>
  </dgm:styleLbl>
</dgm:styleDef>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2870</Words>
  <Characters>2870</Characters>
  <Application>Microsoft Office Word</Application>
  <DocSecurity>0</DocSecurity>
  <Lines>98</Lines>
  <Paragraphs>52</Paragraphs>
  <ScaleCrop>false</ScaleCrop>
  <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小北</dc:creator>
  <cp:lastModifiedBy>春花 季</cp:lastModifiedBy>
  <cp:revision>4</cp:revision>
  <dcterms:created xsi:type="dcterms:W3CDTF">2024-10-29T21:23:00Z</dcterms:created>
  <dcterms:modified xsi:type="dcterms:W3CDTF">2025-09-25T13:00:00Z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E5AEFD01E2B91021E31F1F6765F7AD6D_41</vt:lpwstr>
  </property>
</Properties>
</file>